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B50" w:rsidRPr="004C6CE8" w:rsidRDefault="00D07A75" w:rsidP="001E0B50">
      <w:pPr>
        <w:pStyle w:val="NormalWeb"/>
        <w:shd w:val="clear" w:color="auto" w:fill="FFFFFF" w:themeFill="background1"/>
        <w:spacing w:before="240" w:beforeAutospacing="0" w:after="0" w:afterAutospacing="0"/>
        <w:jc w:val="both"/>
        <w:rPr>
          <w:rFonts w:asciiTheme="minorHAnsi" w:hAnsiTheme="minorHAnsi" w:cstheme="minorHAnsi"/>
          <w:b/>
          <w:caps/>
          <w:sz w:val="36"/>
          <w:szCs w:val="22"/>
        </w:rPr>
      </w:pPr>
      <w:bookmarkStart w:id="0" w:name="_GoBack"/>
      <w:bookmarkEnd w:id="0"/>
      <w:r>
        <w:rPr>
          <w:rFonts w:asciiTheme="minorHAnsi" w:hAnsiTheme="minorHAnsi" w:cstheme="minorHAnsi"/>
          <w:b/>
          <w:sz w:val="36"/>
          <w:szCs w:val="22"/>
        </w:rPr>
        <w:t xml:space="preserve">O “déficit” da </w:t>
      </w:r>
      <w:r w:rsidR="002F2E20" w:rsidRPr="004C6CE8">
        <w:rPr>
          <w:rFonts w:asciiTheme="minorHAnsi" w:hAnsiTheme="minorHAnsi" w:cstheme="minorHAnsi"/>
          <w:b/>
          <w:sz w:val="36"/>
          <w:szCs w:val="22"/>
        </w:rPr>
        <w:t>Previdência</w:t>
      </w:r>
      <w:r>
        <w:rPr>
          <w:rFonts w:asciiTheme="minorHAnsi" w:hAnsiTheme="minorHAnsi" w:cstheme="minorHAnsi"/>
          <w:b/>
          <w:sz w:val="36"/>
          <w:szCs w:val="22"/>
        </w:rPr>
        <w:t xml:space="preserve"> e a posição dos Juristas</w:t>
      </w:r>
      <w:r w:rsidR="002F2E20" w:rsidRPr="004C6CE8">
        <w:rPr>
          <w:rFonts w:asciiTheme="minorHAnsi" w:hAnsiTheme="minorHAnsi" w:cstheme="minorHAnsi"/>
          <w:b/>
          <w:sz w:val="36"/>
          <w:szCs w:val="22"/>
        </w:rPr>
        <w:t xml:space="preserve"> </w:t>
      </w:r>
    </w:p>
    <w:p w:rsidR="001E0B50" w:rsidRPr="001E0B50" w:rsidRDefault="001E0B50" w:rsidP="001E0B50">
      <w:pPr>
        <w:pStyle w:val="Lista"/>
        <w:shd w:val="clear" w:color="auto" w:fill="FFFFFF" w:themeFill="background1"/>
        <w:spacing w:before="240" w:after="0"/>
        <w:jc w:val="both"/>
        <w:rPr>
          <w:rFonts w:asciiTheme="minorHAnsi" w:hAnsiTheme="minorHAnsi" w:cstheme="minorHAnsi"/>
          <w:sz w:val="22"/>
          <w:szCs w:val="22"/>
        </w:rPr>
      </w:pPr>
      <w:r w:rsidRPr="001E0B50">
        <w:rPr>
          <w:rFonts w:asciiTheme="minorHAnsi" w:hAnsiTheme="minorHAnsi" w:cstheme="minorHAnsi"/>
          <w:sz w:val="22"/>
          <w:szCs w:val="22"/>
        </w:rPr>
        <w:t>Eduardo Fagnani</w:t>
      </w:r>
      <w:r w:rsidR="000A20A2">
        <w:rPr>
          <w:rFonts w:asciiTheme="minorHAnsi" w:hAnsiTheme="minorHAnsi" w:cstheme="minorHAnsi"/>
          <w:sz w:val="22"/>
          <w:szCs w:val="22"/>
        </w:rPr>
        <w:t xml:space="preserve"> </w:t>
      </w:r>
      <w:r w:rsidRPr="001E0B50">
        <w:rPr>
          <w:rStyle w:val="Refdenotaderodap"/>
          <w:rFonts w:asciiTheme="minorHAnsi" w:hAnsiTheme="minorHAnsi" w:cstheme="minorHAnsi"/>
          <w:bCs/>
          <w:i/>
          <w:iCs/>
          <w:sz w:val="22"/>
          <w:szCs w:val="22"/>
        </w:rPr>
        <w:footnoteReference w:id="1"/>
      </w:r>
    </w:p>
    <w:p w:rsidR="001E0B50" w:rsidRPr="001E0B50" w:rsidRDefault="001E0B50" w:rsidP="001E0B50">
      <w:pPr>
        <w:pStyle w:val="Lista"/>
        <w:shd w:val="clear" w:color="auto" w:fill="FFFFFF" w:themeFill="background1"/>
        <w:spacing w:before="240" w:after="0"/>
        <w:jc w:val="both"/>
        <w:rPr>
          <w:rFonts w:ascii="Georgia" w:hAnsi="Georgia"/>
          <w:b/>
          <w:bCs/>
          <w:color w:val="C00000"/>
          <w:sz w:val="22"/>
          <w:szCs w:val="22"/>
        </w:rPr>
      </w:pPr>
    </w:p>
    <w:p w:rsidR="002B01D8" w:rsidRPr="001D637A" w:rsidRDefault="002B01D8" w:rsidP="002B01D8">
      <w:pPr>
        <w:pStyle w:val="Lista"/>
        <w:shd w:val="clear" w:color="auto" w:fill="FFFFFF" w:themeFill="background1"/>
        <w:spacing w:before="240" w:after="0"/>
        <w:jc w:val="both"/>
        <w:rPr>
          <w:rFonts w:ascii="Georgia" w:hAnsi="Georgia"/>
          <w:sz w:val="20"/>
        </w:rPr>
      </w:pPr>
      <w:r w:rsidRPr="001D637A">
        <w:rPr>
          <w:rFonts w:ascii="Georgia" w:hAnsi="Georgia"/>
          <w:b/>
          <w:sz w:val="20"/>
        </w:rPr>
        <w:t>Resumo:</w:t>
      </w:r>
      <w:r w:rsidRPr="001D637A">
        <w:rPr>
          <w:rFonts w:ascii="Georgia" w:hAnsi="Georgia"/>
          <w:sz w:val="20"/>
        </w:rPr>
        <w:t xml:space="preserve"> O propósito deste texto é incentivar o debate entre juristas e constitucionalistas. A contribuição desses profissionais é fundamental neste momento, sobretudo pela gravidade da conjuntura. Entende-se que o caráter excludente da Reforma da Previdência Social (Proposta de Emenda Constitucional- PEC n. 287 de dezembro de 2016) poderá acarretar o fim do direito a proteção à velhice no Brasil. E, mais grave, ela é justificada por mitos, falácias e aparentes inconstitucionalidades. Um deles é que a Previdência Social apresenta "déficit".  A reflexão aqui proposta subdivide-se em quatro partes. (1) Na primeira são feitos apontamentos sobre o caráter excludente da Reforma da Previdência (PEC 287/2016). (2) A segunda tece breves considerações sobre o debate político e econômico sobre a questão da Previdência Social entre 1988 e 2016, ressaltando a posição dos setores conservadores, que resistem contra aceitar o que determina a Constituição da República. (3) Na terceira parte, argumenta-se que há diversos princípios norteadores da Constituição Federal que, aparentemente, têm sido descumpridos, recorrentemente, por todos os governos desde 1989, e até os dias de hoje. Muitos deles justificam a reforma da Previdência que tramita no Congresso Nacional. (4) Finalmente, na ultima parte, demonstra-se com dados e informações estatísticas que a Seguridade Social sempre foi superavitária; e, sendo assim, se a Previdência Social é parte da Seguridade Social (artigos 194 e 195 da CF-88), qual a base jurídico-constitucional que fundamenta a tese do “déficit”?   </w:t>
      </w:r>
    </w:p>
    <w:p w:rsidR="002B01D8" w:rsidRPr="001D637A" w:rsidRDefault="002B01D8" w:rsidP="002B01D8">
      <w:pPr>
        <w:pStyle w:val="Lista"/>
        <w:shd w:val="clear" w:color="auto" w:fill="FFFFFF" w:themeFill="background1"/>
        <w:spacing w:before="240"/>
        <w:jc w:val="both"/>
        <w:rPr>
          <w:rFonts w:ascii="Georgia" w:hAnsi="Georgia"/>
          <w:sz w:val="20"/>
        </w:rPr>
      </w:pPr>
      <w:r w:rsidRPr="001D637A">
        <w:rPr>
          <w:rFonts w:ascii="Georgia" w:hAnsi="Georgia"/>
          <w:b/>
          <w:sz w:val="20"/>
        </w:rPr>
        <w:t>Palavras-chaves:</w:t>
      </w:r>
      <w:r w:rsidRPr="001D637A">
        <w:rPr>
          <w:rFonts w:ascii="Georgia" w:hAnsi="Georgia"/>
          <w:sz w:val="20"/>
        </w:rPr>
        <w:t xml:space="preserve"> Previdência Social; Seguridade Social; Estados de Bem-Estar. </w:t>
      </w:r>
    </w:p>
    <w:p w:rsidR="00D52AEF" w:rsidRDefault="00D52AEF" w:rsidP="001E0B50">
      <w:pPr>
        <w:pStyle w:val="Lista"/>
        <w:shd w:val="clear" w:color="auto" w:fill="FFFFFF" w:themeFill="background1"/>
        <w:spacing w:before="240" w:after="0"/>
        <w:jc w:val="both"/>
        <w:rPr>
          <w:rFonts w:ascii="Georgia" w:hAnsi="Georgia"/>
          <w:b/>
          <w:bCs/>
          <w:szCs w:val="24"/>
        </w:rPr>
      </w:pPr>
    </w:p>
    <w:p w:rsidR="001E0B50" w:rsidRPr="00D52AEF" w:rsidRDefault="00D52AEF" w:rsidP="001E0B50">
      <w:pPr>
        <w:pStyle w:val="Lista"/>
        <w:shd w:val="clear" w:color="auto" w:fill="FFFFFF" w:themeFill="background1"/>
        <w:spacing w:before="240" w:after="0"/>
        <w:jc w:val="both"/>
        <w:rPr>
          <w:rFonts w:asciiTheme="minorHAnsi" w:hAnsiTheme="minorHAnsi" w:cstheme="minorHAnsi"/>
          <w:b/>
          <w:bCs/>
          <w:sz w:val="28"/>
          <w:szCs w:val="24"/>
        </w:rPr>
      </w:pPr>
      <w:r w:rsidRPr="00D52AEF">
        <w:rPr>
          <w:rFonts w:asciiTheme="minorHAnsi" w:hAnsiTheme="minorHAnsi" w:cstheme="minorHAnsi"/>
          <w:b/>
          <w:bCs/>
          <w:sz w:val="28"/>
          <w:szCs w:val="24"/>
        </w:rPr>
        <w:t xml:space="preserve">APRESENTAÇÃO </w:t>
      </w:r>
    </w:p>
    <w:p w:rsidR="000A20A2" w:rsidRPr="00EC5771" w:rsidRDefault="000A20A2" w:rsidP="001E0B50">
      <w:pPr>
        <w:pStyle w:val="Lista"/>
        <w:shd w:val="clear" w:color="auto" w:fill="FFFFFF" w:themeFill="background1"/>
        <w:spacing w:before="240" w:after="0"/>
        <w:jc w:val="both"/>
        <w:rPr>
          <w:rFonts w:ascii="Georgia" w:hAnsi="Georgia"/>
          <w:szCs w:val="24"/>
        </w:rPr>
      </w:pPr>
    </w:p>
    <w:p w:rsidR="00D84CC8" w:rsidRDefault="00D07A75" w:rsidP="004B370C">
      <w:pPr>
        <w:shd w:val="clear" w:color="auto" w:fill="FFFFFF" w:themeFill="background1"/>
        <w:spacing w:before="240"/>
        <w:jc w:val="both"/>
        <w:rPr>
          <w:rFonts w:ascii="Georgia" w:eastAsiaTheme="minorEastAsia" w:hAnsi="Georgia"/>
          <w:lang w:eastAsia="en-US"/>
        </w:rPr>
      </w:pPr>
      <w:r>
        <w:rPr>
          <w:rFonts w:ascii="Georgia" w:hAnsi="Georgia"/>
        </w:rPr>
        <w:t>O</w:t>
      </w:r>
      <w:r w:rsidRPr="00566BE2">
        <w:rPr>
          <w:rFonts w:ascii="Georgia" w:hAnsi="Georgia"/>
        </w:rPr>
        <w:t xml:space="preserve"> propósito deste texto é incentivar o debate entre juristas e constitucionalistas. A contribuição </w:t>
      </w:r>
      <w:r w:rsidRPr="001D637A">
        <w:rPr>
          <w:rFonts w:ascii="Georgia" w:hAnsi="Georgia"/>
          <w:sz w:val="22"/>
        </w:rPr>
        <w:t>desses pr</w:t>
      </w:r>
      <w:r w:rsidRPr="00566BE2">
        <w:rPr>
          <w:rFonts w:ascii="Georgia" w:hAnsi="Georgia"/>
        </w:rPr>
        <w:t xml:space="preserve">ofissionais é fundamental neste momento, sobretudo pela gravidade da conjuntura. </w:t>
      </w:r>
      <w:r w:rsidR="00D84CC8" w:rsidRPr="00EC5771">
        <w:rPr>
          <w:rFonts w:ascii="Georgia" w:eastAsiaTheme="minorEastAsia" w:hAnsi="Georgia"/>
          <w:lang w:eastAsia="en-US"/>
        </w:rPr>
        <w:t xml:space="preserve">Entende-se que </w:t>
      </w:r>
      <w:r w:rsidR="00D84CC8">
        <w:rPr>
          <w:rFonts w:ascii="Georgia" w:eastAsiaTheme="minorEastAsia" w:hAnsi="Georgia"/>
          <w:lang w:eastAsia="en-US"/>
        </w:rPr>
        <w:t>o caráter excludente da Reforma da Previdência Social (</w:t>
      </w:r>
      <w:r w:rsidR="00D84CC8" w:rsidRPr="00EC5771">
        <w:rPr>
          <w:rFonts w:ascii="Georgia" w:eastAsiaTheme="minorEastAsia" w:hAnsi="Georgia"/>
          <w:lang w:eastAsia="en-US"/>
        </w:rPr>
        <w:t>Proposta de Emenda Constitucional</w:t>
      </w:r>
      <w:r w:rsidR="00D84CC8">
        <w:rPr>
          <w:rFonts w:ascii="Georgia" w:eastAsiaTheme="minorEastAsia" w:hAnsi="Georgia"/>
          <w:lang w:eastAsia="en-US"/>
        </w:rPr>
        <w:t xml:space="preserve">- </w:t>
      </w:r>
      <w:r w:rsidR="00D84CC8" w:rsidRPr="00EC5771">
        <w:rPr>
          <w:rFonts w:ascii="Georgia" w:eastAsiaTheme="minorEastAsia" w:hAnsi="Georgia"/>
          <w:lang w:eastAsia="en-US"/>
        </w:rPr>
        <w:t>PEC n. 287 de dezembro de 2016</w:t>
      </w:r>
      <w:r w:rsidR="00D84CC8">
        <w:rPr>
          <w:rFonts w:ascii="Georgia" w:eastAsiaTheme="minorEastAsia" w:hAnsi="Georgia"/>
          <w:lang w:eastAsia="en-US"/>
        </w:rPr>
        <w:t>)</w:t>
      </w:r>
      <w:r w:rsidR="00D84CC8" w:rsidRPr="00EC5771">
        <w:rPr>
          <w:rFonts w:ascii="Georgia" w:eastAsiaTheme="minorEastAsia" w:hAnsi="Georgia"/>
          <w:lang w:eastAsia="en-US"/>
        </w:rPr>
        <w:t xml:space="preserve"> </w:t>
      </w:r>
      <w:r w:rsidR="00D84CC8">
        <w:rPr>
          <w:rFonts w:ascii="Georgia" w:eastAsiaTheme="minorEastAsia" w:hAnsi="Georgia"/>
          <w:lang w:eastAsia="en-US"/>
        </w:rPr>
        <w:t xml:space="preserve">poderá acarretar o fim do direito a proteção </w:t>
      </w:r>
      <w:r w:rsidR="00F31363">
        <w:rPr>
          <w:rFonts w:ascii="Georgia" w:eastAsiaTheme="minorEastAsia" w:hAnsi="Georgia"/>
          <w:lang w:eastAsia="en-US"/>
        </w:rPr>
        <w:t xml:space="preserve">à velhice no Brasil. E, mais grave, ela é justificada por </w:t>
      </w:r>
      <w:r w:rsidRPr="00566BE2">
        <w:rPr>
          <w:rFonts w:ascii="Georgia" w:hAnsi="Georgia"/>
          <w:lang w:eastAsia="en-US"/>
        </w:rPr>
        <w:t>mitos, falácias e aparentes inconstitucionalidades.</w:t>
      </w:r>
      <w:r>
        <w:rPr>
          <w:rFonts w:ascii="Georgia" w:hAnsi="Georgia"/>
          <w:lang w:eastAsia="en-US"/>
        </w:rPr>
        <w:t xml:space="preserve"> </w:t>
      </w:r>
      <w:r w:rsidR="00F31363">
        <w:rPr>
          <w:rFonts w:ascii="Georgia" w:hAnsi="Georgia"/>
          <w:lang w:eastAsia="en-US"/>
        </w:rPr>
        <w:t xml:space="preserve">Um deles é que a Previdência Social apresenta </w:t>
      </w:r>
      <w:r w:rsidR="00D84CC8" w:rsidRPr="00EC5771">
        <w:rPr>
          <w:rFonts w:ascii="Georgia" w:eastAsiaTheme="minorEastAsia" w:hAnsi="Georgia"/>
          <w:lang w:eastAsia="en-US"/>
        </w:rPr>
        <w:t>"déficit"</w:t>
      </w:r>
      <w:r w:rsidR="00F31363">
        <w:rPr>
          <w:rFonts w:ascii="Georgia" w:eastAsiaTheme="minorEastAsia" w:hAnsi="Georgia"/>
          <w:lang w:eastAsia="en-US"/>
        </w:rPr>
        <w:t xml:space="preserve">. </w:t>
      </w:r>
      <w:r w:rsidR="00D84CC8" w:rsidRPr="00EC5771">
        <w:rPr>
          <w:rFonts w:ascii="Georgia" w:eastAsiaTheme="minorEastAsia" w:hAnsi="Georgia"/>
          <w:lang w:eastAsia="en-US"/>
        </w:rPr>
        <w:t xml:space="preserve">Como sublinhado nesse artigo, </w:t>
      </w:r>
      <w:r w:rsidR="004B370C">
        <w:rPr>
          <w:rFonts w:ascii="Georgia" w:eastAsiaTheme="minorEastAsia" w:hAnsi="Georgia"/>
          <w:lang w:eastAsia="en-US"/>
        </w:rPr>
        <w:t xml:space="preserve">essa visão </w:t>
      </w:r>
      <w:r w:rsidR="00F31363">
        <w:rPr>
          <w:rFonts w:ascii="Georgia" w:eastAsiaTheme="minorEastAsia" w:hAnsi="Georgia"/>
          <w:lang w:eastAsia="en-US"/>
        </w:rPr>
        <w:t>desrespeit</w:t>
      </w:r>
      <w:r w:rsidR="004B370C">
        <w:rPr>
          <w:rFonts w:ascii="Georgia" w:eastAsiaTheme="minorEastAsia" w:hAnsi="Georgia"/>
          <w:lang w:eastAsia="en-US"/>
        </w:rPr>
        <w:t>a</w:t>
      </w:r>
      <w:r w:rsidR="00F31363">
        <w:rPr>
          <w:rFonts w:ascii="Georgia" w:eastAsiaTheme="minorEastAsia" w:hAnsi="Georgia"/>
          <w:lang w:eastAsia="en-US"/>
        </w:rPr>
        <w:t xml:space="preserve"> o poder constituinte de 1988 </w:t>
      </w:r>
      <w:r w:rsidR="004B370C">
        <w:rPr>
          <w:rFonts w:ascii="Georgia" w:eastAsiaTheme="minorEastAsia" w:hAnsi="Georgia"/>
          <w:lang w:eastAsia="en-US"/>
        </w:rPr>
        <w:t xml:space="preserve">que introduziu o </w:t>
      </w:r>
      <w:r w:rsidR="00D84CC8" w:rsidRPr="00EC5771">
        <w:rPr>
          <w:rFonts w:ascii="Georgia" w:eastAsiaTheme="minorEastAsia" w:hAnsi="Georgia"/>
          <w:lang w:eastAsia="en-US"/>
        </w:rPr>
        <w:t xml:space="preserve">modelo tripartite clássico de (Empregador, Trabalhador e Governo) </w:t>
      </w:r>
      <w:r w:rsidR="004B370C">
        <w:rPr>
          <w:rFonts w:ascii="Georgia" w:eastAsiaTheme="minorEastAsia" w:hAnsi="Georgia"/>
          <w:lang w:eastAsia="en-US"/>
        </w:rPr>
        <w:t xml:space="preserve">de financiamento da Seguridade Social </w:t>
      </w:r>
      <w:r w:rsidR="00D84CC8" w:rsidRPr="00EC5771">
        <w:rPr>
          <w:rFonts w:ascii="Georgia" w:eastAsiaTheme="minorEastAsia" w:hAnsi="Georgia"/>
          <w:lang w:eastAsia="en-US"/>
        </w:rPr>
        <w:t xml:space="preserve">adotado em diversos países da </w:t>
      </w:r>
      <w:r w:rsidR="004B370C" w:rsidRPr="00EC5771">
        <w:rPr>
          <w:rFonts w:ascii="Georgia" w:eastAsiaTheme="minorEastAsia" w:hAnsi="Georgia"/>
          <w:bCs/>
          <w:lang w:eastAsia="en-US"/>
        </w:rPr>
        <w:t>Organização para a Cooperação e Desenvolvimento Econômico (OCDE).</w:t>
      </w:r>
      <w:r w:rsidR="004B370C">
        <w:rPr>
          <w:rFonts w:ascii="Georgia" w:eastAsiaTheme="minorEastAsia" w:hAnsi="Georgia"/>
          <w:bCs/>
          <w:lang w:eastAsia="en-US"/>
        </w:rPr>
        <w:t xml:space="preserve"> </w:t>
      </w:r>
      <w:r w:rsidR="00D84CC8" w:rsidRPr="00EC5771">
        <w:rPr>
          <w:rFonts w:ascii="Georgia" w:eastAsiaTheme="minorEastAsia" w:hAnsi="Georgia"/>
          <w:lang w:eastAsia="en-US"/>
        </w:rPr>
        <w:t xml:space="preserve">Este ponto de vista tem sido defendido há mais de duas décadas por economistas, por especialistas em mercado de trabalho e em proteção social e por instituições como a Associação Nacional dos Auditores-Fiscais da Receita Federal do Brasil (ANFIP), por exemplo. Entende-se que a questão do suposto “déficit” revela aparentes inconstitucionalidades praticadas desde 1989. </w:t>
      </w:r>
    </w:p>
    <w:p w:rsidR="009161EA" w:rsidRDefault="00D84CC8" w:rsidP="00A90D58">
      <w:pPr>
        <w:spacing w:before="240"/>
        <w:jc w:val="both"/>
        <w:rPr>
          <w:rFonts w:ascii="Georgia" w:eastAsiaTheme="minorEastAsia" w:hAnsi="Georgia"/>
          <w:lang w:eastAsia="en-US"/>
        </w:rPr>
      </w:pPr>
      <w:r w:rsidRPr="00EC5771">
        <w:rPr>
          <w:rFonts w:ascii="Georgia" w:eastAsiaTheme="minorEastAsia" w:hAnsi="Georgia"/>
          <w:lang w:eastAsia="en-US"/>
        </w:rPr>
        <w:lastRenderedPageBreak/>
        <w:t>Entretanto, a palavra final cabe aos juristas e constitucionalistas que, em geral, têm contribuído modestamente para esse debate</w:t>
      </w:r>
      <w:r w:rsidR="009161EA">
        <w:rPr>
          <w:rFonts w:ascii="Georgia" w:eastAsiaTheme="minorEastAsia" w:hAnsi="Georgia"/>
          <w:lang w:eastAsia="en-US"/>
        </w:rPr>
        <w:t>. Mesmo assim é importante destacar que, em f</w:t>
      </w:r>
      <w:r w:rsidRPr="00EC5771">
        <w:rPr>
          <w:rFonts w:ascii="Georgia" w:eastAsiaTheme="minorEastAsia" w:hAnsi="Georgia"/>
          <w:lang w:eastAsia="en-US"/>
        </w:rPr>
        <w:t xml:space="preserve">evereiro de 2017, a Ordem dos Advogados do Brasil (OAB) fez importante posicionamento contrário PEC 287, destacando-se, sobretudo, a explicitação de interpretação jurídico-constitucional antagônica à visão hegemônica dos interlocutores das finanças (no governo e fora dele) que difundem a suposta existência de "déficit" </w:t>
      </w:r>
      <w:r w:rsidRPr="008A5E12">
        <w:rPr>
          <w:rFonts w:ascii="Georgia" w:eastAsiaTheme="minorEastAsia" w:hAnsi="Georgia"/>
          <w:lang w:eastAsia="en-US"/>
        </w:rPr>
        <w:t xml:space="preserve">na Previdência. </w:t>
      </w:r>
      <w:r w:rsidR="00A90D58">
        <w:rPr>
          <w:rFonts w:ascii="Georgia" w:eastAsiaTheme="minorEastAsia" w:hAnsi="Georgia"/>
          <w:lang w:eastAsia="en-US"/>
        </w:rPr>
        <w:t>Segundo o documento</w:t>
      </w:r>
      <w:r w:rsidR="009161EA">
        <w:rPr>
          <w:rFonts w:ascii="Georgia" w:eastAsiaTheme="minorEastAsia" w:hAnsi="Georgia"/>
          <w:lang w:eastAsia="en-US"/>
        </w:rPr>
        <w:t>:</w:t>
      </w:r>
    </w:p>
    <w:p w:rsidR="00D84CC8" w:rsidRDefault="00A90D58" w:rsidP="00D84CC8">
      <w:pPr>
        <w:spacing w:before="240"/>
        <w:jc w:val="both"/>
        <w:rPr>
          <w:rFonts w:ascii="Georgia" w:eastAsiaTheme="minorHAnsi" w:hAnsi="Georgia" w:cs="Arial"/>
          <w:lang w:eastAsia="en-US"/>
        </w:rPr>
      </w:pPr>
      <w:r w:rsidRPr="009161EA">
        <w:rPr>
          <w:rFonts w:ascii="Georgia" w:eastAsiaTheme="minorEastAsia" w:hAnsi="Georgia"/>
          <w:i/>
          <w:sz w:val="22"/>
          <w:lang w:eastAsia="en-US"/>
        </w:rPr>
        <w:t>“</w:t>
      </w:r>
      <w:r w:rsidR="009161EA" w:rsidRPr="009161EA">
        <w:rPr>
          <w:rFonts w:ascii="Georgia" w:eastAsiaTheme="minorEastAsia" w:hAnsi="Georgia"/>
          <w:i/>
          <w:sz w:val="22"/>
          <w:lang w:eastAsia="en-US"/>
        </w:rPr>
        <w:t>A</w:t>
      </w:r>
      <w:r w:rsidRPr="009161EA">
        <w:rPr>
          <w:rFonts w:ascii="Georgia" w:eastAsiaTheme="minorEastAsia" w:hAnsi="Georgia"/>
          <w:i/>
          <w:sz w:val="22"/>
          <w:lang w:eastAsia="en-US"/>
        </w:rPr>
        <w:t xml:space="preserve"> PEC 287/2016 tem sido apresentada pelo governo sob discurso de catástrofe financeira e “déficit”, que não existem, evidenciando-se grave descumprimento aos artigos 194 e 195 da Constituição Federal, que insere a Previdência no sistema de Seguridade Social, juntamente com as áreas da Saúde e Assistência Social, sistema que tem sido, ao longo dos anos, altamente superavitário em dezenas de bilhões de reais”</w:t>
      </w:r>
      <w:r w:rsidR="009161EA" w:rsidRPr="009161EA">
        <w:rPr>
          <w:rFonts w:ascii="Georgia" w:eastAsiaTheme="minorEastAsia" w:hAnsi="Georgia"/>
          <w:i/>
          <w:sz w:val="22"/>
          <w:lang w:eastAsia="en-US"/>
        </w:rPr>
        <w:t xml:space="preserve"> </w:t>
      </w:r>
      <w:r w:rsidR="00FD76DE" w:rsidRPr="009161EA">
        <w:rPr>
          <w:rStyle w:val="Refdenotaderodap"/>
          <w:rFonts w:ascii="Georgia" w:eastAsiaTheme="minorEastAsia" w:hAnsi="Georgia"/>
          <w:i/>
          <w:sz w:val="22"/>
          <w:lang w:eastAsia="en-US"/>
        </w:rPr>
        <w:footnoteReference w:id="2"/>
      </w:r>
      <w:r w:rsidRPr="009161EA">
        <w:rPr>
          <w:rFonts w:ascii="Georgia" w:eastAsiaTheme="minorEastAsia" w:hAnsi="Georgia"/>
          <w:i/>
          <w:sz w:val="22"/>
          <w:lang w:eastAsia="en-US"/>
        </w:rPr>
        <w:t xml:space="preserve">. </w:t>
      </w:r>
      <w:r w:rsidRPr="009161EA">
        <w:rPr>
          <w:rFonts w:ascii="Georgia" w:eastAsiaTheme="minorEastAsia" w:hAnsi="Georgia"/>
          <w:i/>
          <w:sz w:val="22"/>
          <w:lang w:eastAsia="en-US"/>
        </w:rPr>
        <w:cr/>
      </w:r>
      <w:r w:rsidR="009161EA">
        <w:rPr>
          <w:rFonts w:ascii="Georgia" w:eastAsiaTheme="minorEastAsia" w:hAnsi="Georgia"/>
          <w:lang w:eastAsia="en-US"/>
        </w:rPr>
        <w:t xml:space="preserve">Na mesma perspectiva, </w:t>
      </w:r>
      <w:r w:rsidR="00D84CC8" w:rsidRPr="006B3675">
        <w:rPr>
          <w:rFonts w:ascii="Georgia" w:eastAsiaTheme="minorHAnsi" w:hAnsi="Georgia" w:cs="Arial"/>
          <w:color w:val="1F497D" w:themeColor="text2"/>
          <w:lang w:eastAsia="en-US"/>
        </w:rPr>
        <w:t xml:space="preserve">CHERULLI </w:t>
      </w:r>
      <w:r w:rsidR="00D84CC8" w:rsidRPr="008A5E12">
        <w:rPr>
          <w:rFonts w:ascii="Georgia" w:eastAsiaTheme="minorHAnsi" w:hAnsi="Georgia" w:cs="Arial"/>
          <w:color w:val="1F497D" w:themeColor="text2"/>
          <w:lang w:eastAsia="en-US"/>
        </w:rPr>
        <w:t>(</w:t>
      </w:r>
      <w:r w:rsidR="00D84CC8" w:rsidRPr="006B3675">
        <w:rPr>
          <w:rFonts w:ascii="Georgia" w:eastAsiaTheme="minorHAnsi" w:hAnsi="Georgia" w:cs="Arial"/>
          <w:color w:val="1F497D" w:themeColor="text2"/>
          <w:lang w:eastAsia="en-US"/>
        </w:rPr>
        <w:t>2016</w:t>
      </w:r>
      <w:r w:rsidR="00D84CC8" w:rsidRPr="008A5E12">
        <w:rPr>
          <w:rFonts w:ascii="Georgia" w:eastAsiaTheme="minorHAnsi" w:hAnsi="Georgia" w:cs="Arial"/>
          <w:color w:val="1F497D" w:themeColor="text2"/>
          <w:lang w:eastAsia="en-US"/>
        </w:rPr>
        <w:t>)</w:t>
      </w:r>
      <w:r w:rsidR="00D84CC8">
        <w:rPr>
          <w:rFonts w:ascii="Georgia" w:eastAsiaTheme="minorHAnsi" w:hAnsi="Georgia" w:cs="Arial"/>
          <w:color w:val="1F497D" w:themeColor="text2"/>
          <w:lang w:eastAsia="en-US"/>
        </w:rPr>
        <w:t xml:space="preserve"> sentenciou que a o</w:t>
      </w:r>
      <w:r w:rsidR="00D84CC8" w:rsidRPr="008A5E12">
        <w:rPr>
          <w:rFonts w:ascii="Georgia" w:eastAsiaTheme="minorHAnsi" w:hAnsi="Georgia" w:cs="Arial"/>
          <w:lang w:eastAsia="en-US"/>
        </w:rPr>
        <w:t>rigem jurídica do argumento do déficit da Previdência</w:t>
      </w:r>
      <w:r w:rsidR="00D84CC8">
        <w:rPr>
          <w:rFonts w:ascii="Georgia" w:eastAsiaTheme="minorHAnsi" w:hAnsi="Georgia" w:cs="Arial"/>
          <w:lang w:eastAsia="en-US"/>
        </w:rPr>
        <w:t xml:space="preserve"> é o “</w:t>
      </w:r>
      <w:r w:rsidR="00D84CC8" w:rsidRPr="008A5E12">
        <w:rPr>
          <w:rFonts w:ascii="Georgia" w:eastAsiaTheme="minorHAnsi" w:hAnsi="Georgia" w:cs="Arial"/>
          <w:lang w:eastAsia="en-US"/>
        </w:rPr>
        <w:t>desprezo na interpretação constitucional</w:t>
      </w:r>
      <w:r w:rsidR="00D84CC8">
        <w:rPr>
          <w:rFonts w:ascii="Georgia" w:eastAsiaTheme="minorHAnsi" w:hAnsi="Georgia" w:cs="Arial"/>
          <w:lang w:eastAsia="en-US"/>
        </w:rPr>
        <w:t>”.</w:t>
      </w:r>
    </w:p>
    <w:p w:rsidR="00C05478" w:rsidRPr="008A5E12" w:rsidRDefault="00C05478" w:rsidP="00D84CC8">
      <w:pPr>
        <w:spacing w:before="240"/>
        <w:jc w:val="both"/>
        <w:rPr>
          <w:rFonts w:ascii="Georgia" w:eastAsiaTheme="minorEastAsia" w:hAnsi="Georgia"/>
          <w:lang w:eastAsia="en-US"/>
        </w:rPr>
      </w:pPr>
      <w:r>
        <w:rPr>
          <w:rFonts w:ascii="Georgia" w:eastAsiaTheme="minorHAnsi" w:hAnsi="Georgia" w:cs="Arial"/>
          <w:lang w:eastAsia="en-US"/>
        </w:rPr>
        <w:t>Esses posicionamentos são importantes, mas ainda insuficientes para subsidiar a luta política em torn</w:t>
      </w:r>
      <w:r w:rsidR="005808A6">
        <w:rPr>
          <w:rFonts w:ascii="Georgia" w:eastAsiaTheme="minorHAnsi" w:hAnsi="Georgia" w:cs="Arial"/>
          <w:lang w:eastAsia="en-US"/>
        </w:rPr>
        <w:t>o</w:t>
      </w:r>
      <w:r>
        <w:rPr>
          <w:rFonts w:ascii="Georgia" w:eastAsiaTheme="minorHAnsi" w:hAnsi="Georgia" w:cs="Arial"/>
          <w:lang w:eastAsia="en-US"/>
        </w:rPr>
        <w:t xml:space="preserve"> da contrarreforma em curso.</w:t>
      </w:r>
    </w:p>
    <w:p w:rsidR="003F5F82" w:rsidRDefault="001E0B50" w:rsidP="005808A6">
      <w:pPr>
        <w:pStyle w:val="Lista"/>
        <w:shd w:val="clear" w:color="auto" w:fill="FFFFFF" w:themeFill="background1"/>
        <w:spacing w:before="240" w:after="0"/>
        <w:jc w:val="both"/>
        <w:rPr>
          <w:rFonts w:ascii="Georgia" w:hAnsi="Georgia"/>
          <w:szCs w:val="24"/>
        </w:rPr>
      </w:pPr>
      <w:r w:rsidRPr="00EC5771">
        <w:rPr>
          <w:rFonts w:ascii="Georgia" w:hAnsi="Georgia"/>
          <w:szCs w:val="24"/>
        </w:rPr>
        <w:t xml:space="preserve">A reflexão aqui proposta subdivide-se em </w:t>
      </w:r>
      <w:r w:rsidR="005808A6">
        <w:rPr>
          <w:rFonts w:ascii="Georgia" w:hAnsi="Georgia"/>
          <w:szCs w:val="24"/>
        </w:rPr>
        <w:t>quatro</w:t>
      </w:r>
      <w:r w:rsidR="003F5F82" w:rsidRPr="00EC5771">
        <w:rPr>
          <w:rFonts w:ascii="Georgia" w:hAnsi="Georgia"/>
          <w:szCs w:val="24"/>
        </w:rPr>
        <w:t xml:space="preserve"> </w:t>
      </w:r>
      <w:r w:rsidRPr="00EC5771">
        <w:rPr>
          <w:rFonts w:ascii="Georgia" w:hAnsi="Georgia"/>
          <w:szCs w:val="24"/>
        </w:rPr>
        <w:t xml:space="preserve">partes. </w:t>
      </w:r>
      <w:r w:rsidR="005808A6">
        <w:rPr>
          <w:rFonts w:ascii="Georgia" w:hAnsi="Georgia"/>
          <w:szCs w:val="24"/>
        </w:rPr>
        <w:t xml:space="preserve">(1) Na primeira são feitos apontamentos sobre o caráter excludente da Reforma da Previdência (PEC 287/2016). (2) A segunda tece </w:t>
      </w:r>
      <w:r w:rsidRPr="00EC5771">
        <w:rPr>
          <w:rFonts w:ascii="Georgia" w:hAnsi="Georgia"/>
          <w:szCs w:val="24"/>
        </w:rPr>
        <w:t>breves considerações sobre o debate político e econômico sobre a questão da Previdência Social entre 1988 e 201</w:t>
      </w:r>
      <w:r w:rsidR="00E93522" w:rsidRPr="00EC5771">
        <w:rPr>
          <w:rFonts w:ascii="Georgia" w:hAnsi="Georgia"/>
          <w:szCs w:val="24"/>
        </w:rPr>
        <w:t>6</w:t>
      </w:r>
      <w:r w:rsidRPr="00EC5771">
        <w:rPr>
          <w:rFonts w:ascii="Georgia" w:hAnsi="Georgia"/>
          <w:szCs w:val="24"/>
        </w:rPr>
        <w:t>, ressaltando a posição dos setores conservadores, que resistem contra aceitar o que determina a Constituição da República.</w:t>
      </w:r>
      <w:r w:rsidR="005808A6">
        <w:rPr>
          <w:rFonts w:ascii="Georgia" w:hAnsi="Georgia"/>
          <w:szCs w:val="24"/>
        </w:rPr>
        <w:t xml:space="preserve"> (3) </w:t>
      </w:r>
      <w:r w:rsidRPr="00EC5771">
        <w:rPr>
          <w:rFonts w:ascii="Georgia" w:hAnsi="Georgia"/>
          <w:szCs w:val="24"/>
        </w:rPr>
        <w:t xml:space="preserve">Na </w:t>
      </w:r>
      <w:r w:rsidR="005808A6">
        <w:rPr>
          <w:rFonts w:ascii="Georgia" w:hAnsi="Georgia"/>
          <w:szCs w:val="24"/>
        </w:rPr>
        <w:t xml:space="preserve">terceira </w:t>
      </w:r>
      <w:r w:rsidRPr="00EC5771">
        <w:rPr>
          <w:rFonts w:ascii="Georgia" w:hAnsi="Georgia"/>
          <w:szCs w:val="24"/>
        </w:rPr>
        <w:t>parte, argument</w:t>
      </w:r>
      <w:r w:rsidR="00E93522" w:rsidRPr="00EC5771">
        <w:rPr>
          <w:rFonts w:ascii="Georgia" w:hAnsi="Georgia"/>
          <w:szCs w:val="24"/>
        </w:rPr>
        <w:t xml:space="preserve">a-se </w:t>
      </w:r>
      <w:r w:rsidRPr="00EC5771">
        <w:rPr>
          <w:rFonts w:ascii="Georgia" w:hAnsi="Georgia"/>
          <w:szCs w:val="24"/>
        </w:rPr>
        <w:t>que há diversos princípios norteadores da Constituição Federal que</w:t>
      </w:r>
      <w:r w:rsidR="00E93522" w:rsidRPr="00EC5771">
        <w:rPr>
          <w:rFonts w:ascii="Georgia" w:hAnsi="Georgia"/>
          <w:szCs w:val="24"/>
        </w:rPr>
        <w:t xml:space="preserve">, aparentemente, </w:t>
      </w:r>
      <w:r w:rsidRPr="00EC5771">
        <w:rPr>
          <w:rFonts w:ascii="Georgia" w:hAnsi="Georgia"/>
          <w:szCs w:val="24"/>
        </w:rPr>
        <w:t>têm sido descumpridos, recorrentemente, por todos os governos desde 198</w:t>
      </w:r>
      <w:r w:rsidR="00E93522" w:rsidRPr="00EC5771">
        <w:rPr>
          <w:rFonts w:ascii="Georgia" w:hAnsi="Georgia"/>
          <w:szCs w:val="24"/>
        </w:rPr>
        <w:t>9</w:t>
      </w:r>
      <w:r w:rsidRPr="00EC5771">
        <w:rPr>
          <w:rFonts w:ascii="Georgia" w:hAnsi="Georgia"/>
          <w:szCs w:val="24"/>
        </w:rPr>
        <w:t xml:space="preserve">, e até os dias de hoje. </w:t>
      </w:r>
      <w:r w:rsidR="00E93522" w:rsidRPr="00EC5771">
        <w:rPr>
          <w:rFonts w:ascii="Georgia" w:hAnsi="Georgia"/>
          <w:szCs w:val="24"/>
        </w:rPr>
        <w:t xml:space="preserve">Muitos deles justificam a reforma da Previdência que tramita no Congresso Nacional. </w:t>
      </w:r>
      <w:r w:rsidR="005808A6">
        <w:rPr>
          <w:rFonts w:ascii="Georgia" w:hAnsi="Georgia"/>
          <w:szCs w:val="24"/>
        </w:rPr>
        <w:t xml:space="preserve">(4) Finalmente, na ultima </w:t>
      </w:r>
      <w:r w:rsidR="003F5F82" w:rsidRPr="00EC5771">
        <w:rPr>
          <w:rFonts w:ascii="Georgia" w:hAnsi="Georgia"/>
          <w:szCs w:val="24"/>
        </w:rPr>
        <w:t>parte, demonstra-se com dados e informações estatísticas que a Seguridade Social sempre foi superavitária; e, sendo assim, se a Previdência Social é parte da Seguridade Social (artigos 194 e 195 da CF-88)</w:t>
      </w:r>
      <w:r w:rsidR="00DE5A28" w:rsidRPr="00EC5771">
        <w:rPr>
          <w:rFonts w:ascii="Georgia" w:hAnsi="Georgia"/>
          <w:szCs w:val="24"/>
        </w:rPr>
        <w:t xml:space="preserve">, qual a base jurídico-constitucional que fundamenta a tese do “déficit”?  </w:t>
      </w:r>
      <w:r w:rsidR="003F5F82" w:rsidRPr="00EC5771">
        <w:rPr>
          <w:rFonts w:ascii="Georgia" w:hAnsi="Georgia"/>
          <w:szCs w:val="24"/>
        </w:rPr>
        <w:t xml:space="preserve"> </w:t>
      </w:r>
    </w:p>
    <w:p w:rsidR="005C582C" w:rsidRPr="00EC5771" w:rsidRDefault="005C582C" w:rsidP="004C6CE8">
      <w:pPr>
        <w:pStyle w:val="Lista"/>
        <w:shd w:val="clear" w:color="auto" w:fill="FFFFFF" w:themeFill="background1"/>
        <w:spacing w:before="240"/>
        <w:jc w:val="both"/>
        <w:rPr>
          <w:rFonts w:ascii="Georgia" w:hAnsi="Georgia"/>
          <w:szCs w:val="24"/>
        </w:rPr>
      </w:pPr>
    </w:p>
    <w:p w:rsidR="005C582C" w:rsidRPr="00D52AEF" w:rsidRDefault="005C582C" w:rsidP="005C582C">
      <w:pPr>
        <w:pStyle w:val="PargrafodaLista"/>
        <w:numPr>
          <w:ilvl w:val="0"/>
          <w:numId w:val="42"/>
        </w:numPr>
        <w:shd w:val="clear" w:color="auto" w:fill="FFFFFF" w:themeFill="background1"/>
        <w:spacing w:before="240" w:after="120"/>
        <w:ind w:left="0" w:firstLine="0"/>
        <w:contextualSpacing w:val="0"/>
        <w:jc w:val="both"/>
        <w:rPr>
          <w:rFonts w:asciiTheme="minorHAnsi" w:hAnsiTheme="minorHAnsi" w:cstheme="minorHAnsi"/>
          <w:b/>
          <w:sz w:val="28"/>
        </w:rPr>
      </w:pPr>
      <w:r>
        <w:rPr>
          <w:rFonts w:asciiTheme="minorHAnsi" w:hAnsiTheme="minorHAnsi" w:cstheme="minorHAnsi"/>
          <w:b/>
          <w:sz w:val="28"/>
        </w:rPr>
        <w:t>O CARÁTER EXCLUDENTE DA REFORMA DA PREVIDÊNCIA</w:t>
      </w:r>
      <w:r w:rsidRPr="00D52AEF">
        <w:rPr>
          <w:rStyle w:val="Refdenotaderodap"/>
          <w:rFonts w:asciiTheme="minorHAnsi" w:hAnsiTheme="minorHAnsi" w:cstheme="minorHAnsi"/>
          <w:b/>
          <w:bCs/>
          <w:sz w:val="28"/>
        </w:rPr>
        <w:footnoteReference w:id="3"/>
      </w:r>
      <w:r>
        <w:rPr>
          <w:rFonts w:asciiTheme="minorHAnsi" w:hAnsiTheme="minorHAnsi" w:cstheme="minorHAnsi"/>
          <w:b/>
          <w:sz w:val="28"/>
        </w:rPr>
        <w:t xml:space="preserve"> </w:t>
      </w:r>
    </w:p>
    <w:p w:rsidR="005C582C" w:rsidRPr="00EC5771" w:rsidRDefault="005C582C" w:rsidP="005C582C">
      <w:pPr>
        <w:widowControl w:val="0"/>
        <w:autoSpaceDE w:val="0"/>
        <w:autoSpaceDN w:val="0"/>
        <w:adjustRightInd w:val="0"/>
        <w:spacing w:before="240"/>
        <w:jc w:val="both"/>
        <w:rPr>
          <w:rFonts w:ascii="Georgia" w:eastAsiaTheme="minorEastAsia" w:hAnsi="Georgia"/>
          <w:lang w:eastAsia="en-US"/>
        </w:rPr>
      </w:pPr>
      <w:r w:rsidRPr="00EC5771">
        <w:rPr>
          <w:rFonts w:ascii="Georgia" w:eastAsiaTheme="minorEastAsia" w:hAnsi="Georgia"/>
          <w:lang w:eastAsia="en-US"/>
        </w:rPr>
        <w:t xml:space="preserve">Entende-se que essa Proposta de Emenda Constitucional (PEC) n. 287 de dezembro de 2016 é uma peça do aprofundamento da "austeridade", num cenário em que o próprio </w:t>
      </w:r>
      <w:r w:rsidRPr="00EC5771">
        <w:rPr>
          <w:rFonts w:ascii="Georgia" w:eastAsiaTheme="minorEastAsia" w:hAnsi="Georgia"/>
          <w:i/>
          <w:lang w:eastAsia="en-US"/>
        </w:rPr>
        <w:t>establishment e</w:t>
      </w:r>
      <w:r w:rsidRPr="00EC5771">
        <w:rPr>
          <w:rFonts w:ascii="Georgia" w:eastAsiaTheme="minorEastAsia" w:hAnsi="Georgia"/>
          <w:lang w:eastAsia="en-US"/>
        </w:rPr>
        <w:t xml:space="preserve">conômico global já faz a autocrítica da opção por essa via "austera" quando se tratava de tentar superar a crise </w:t>
      </w:r>
      <w:r w:rsidRPr="00EC5771">
        <w:rPr>
          <w:rFonts w:ascii="Georgia" w:eastAsiaTheme="minorEastAsia" w:hAnsi="Georgia"/>
          <w:lang w:eastAsia="en-US"/>
        </w:rPr>
        <w:lastRenderedPageBreak/>
        <w:t xml:space="preserve">financeira de 2008. </w:t>
      </w:r>
      <w:r w:rsidRPr="00EC5771">
        <w:rPr>
          <w:rFonts w:ascii="Georgia" w:eastAsiaTheme="minorEastAsia" w:hAnsi="Georgia"/>
          <w:kern w:val="24"/>
        </w:rPr>
        <w:t xml:space="preserve">Em </w:t>
      </w:r>
      <w:r w:rsidRPr="00EC5771">
        <w:rPr>
          <w:rFonts w:ascii="Georgia" w:eastAsiaTheme="minorEastAsia" w:hAnsi="Georgia"/>
          <w:lang w:eastAsia="en-US"/>
        </w:rPr>
        <w:t xml:space="preserve">última instância, o que está em jogo é a mudança do modelo de sociedade definido pelo pacto social de 1988. O objetivo é substituir o Estado Social pelo Estado Mínimo. </w:t>
      </w:r>
    </w:p>
    <w:p w:rsidR="005C582C" w:rsidRPr="00EC5771" w:rsidRDefault="005C582C" w:rsidP="005C582C">
      <w:pPr>
        <w:widowControl w:val="0"/>
        <w:autoSpaceDE w:val="0"/>
        <w:autoSpaceDN w:val="0"/>
        <w:adjustRightInd w:val="0"/>
        <w:spacing w:before="240"/>
        <w:jc w:val="both"/>
        <w:rPr>
          <w:rFonts w:ascii="Georgia" w:eastAsiaTheme="minorEastAsia" w:hAnsi="Georgia"/>
          <w:lang w:eastAsia="en-US"/>
        </w:rPr>
      </w:pPr>
      <w:r w:rsidRPr="00EC5771">
        <w:rPr>
          <w:rFonts w:ascii="Georgia" w:eastAsiaTheme="minorEastAsia" w:hAnsi="Georgia"/>
          <w:lang w:eastAsia="en-US"/>
        </w:rPr>
        <w:t xml:space="preserve">Trata-se de reforma draconiana, sem paralelo em países civilizados. Ela </w:t>
      </w:r>
      <w:r w:rsidRPr="00EC5771">
        <w:rPr>
          <w:rFonts w:ascii="Georgia" w:eastAsiaTheme="minorEastAsia" w:hAnsi="Georgia"/>
          <w:kern w:val="24"/>
        </w:rPr>
        <w:t xml:space="preserve">unifica as regras para todos os segmentos, acabando com diferenciações previstas pela Carta de 1988, dadas as assimetrias entre gêneros e entre campo e cidade. Homens e mulheres, rurais e urbanos, trabalhadores privados e servidores públicos terão de comprovar idade mínima de 65 anos e 49 anos de contribuição para terem acesso à aposentadoria com valor integral. Nesse caso, será </w:t>
      </w:r>
      <w:r w:rsidRPr="00EC5771">
        <w:rPr>
          <w:rFonts w:ascii="Georgia" w:eastAsiaTheme="minorEastAsia" w:hAnsi="Georgia"/>
          <w:lang w:eastAsia="en-US"/>
        </w:rPr>
        <w:t xml:space="preserve">preciso entrar no mercado de trabalho com 16 anos e permanecer no emprego com carteira assinada por quase meio século de forma ininterrupta. Um das maiores crueldades é a elevação da idade (de 65 para 70 anos) e a desvinculação do piso do salário mínimo para o Benefício de Prestação Continuada (BPC) dirigido aos idosos mais vulneráveis (renda familiar per capita de ¼ do salário mínimo) e portadores de deficiências. </w:t>
      </w:r>
    </w:p>
    <w:p w:rsidR="005C582C" w:rsidRPr="00EC5771" w:rsidRDefault="005C582C" w:rsidP="005C582C">
      <w:pPr>
        <w:tabs>
          <w:tab w:val="right" w:pos="1134"/>
        </w:tabs>
        <w:spacing w:before="240"/>
        <w:jc w:val="both"/>
        <w:rPr>
          <w:rFonts w:ascii="Georgia" w:eastAsiaTheme="minorHAnsi" w:hAnsi="Georgia"/>
          <w:lang w:eastAsia="en-US"/>
        </w:rPr>
      </w:pPr>
      <w:r w:rsidRPr="00EC5771">
        <w:rPr>
          <w:rFonts w:ascii="Georgia" w:eastAsiaTheme="minorEastAsia" w:hAnsi="Georgia"/>
          <w:bCs/>
          <w:lang w:eastAsia="en-US"/>
        </w:rPr>
        <w:t xml:space="preserve">Os reformistas brasileiros dizem inspirar-se na experiência das nações que compõem a Organização para a Cooperação e Desenvolvimento Econômico (OCDE). Mas, impõem </w:t>
      </w:r>
      <w:r w:rsidRPr="00EC5771">
        <w:rPr>
          <w:rFonts w:ascii="Georgia" w:eastAsiaTheme="minorEastAsia" w:hAnsi="Georgia"/>
          <w:color w:val="000000" w:themeColor="text1"/>
          <w:lang w:eastAsia="en-US"/>
        </w:rPr>
        <w:t xml:space="preserve">regras mais duras que as praticadas nessas nações, onde, em geral, a </w:t>
      </w:r>
      <w:r w:rsidRPr="00EC5771">
        <w:rPr>
          <w:rFonts w:ascii="Georgia" w:eastAsiaTheme="minorEastAsia" w:hAnsi="Georgia"/>
          <w:bCs/>
          <w:lang w:eastAsia="en-US"/>
        </w:rPr>
        <w:t xml:space="preserve">idade de 65 anos "não é o mínimo, mas a referência" (MATIJASCIC, KAY; RIBEIRO, 2007). </w:t>
      </w:r>
      <w:r w:rsidRPr="00EC5771">
        <w:rPr>
          <w:rFonts w:ascii="Georgia" w:eastAsiaTheme="minorHAnsi" w:hAnsi="Georgia"/>
          <w:lang w:eastAsia="en-US"/>
        </w:rPr>
        <w:t xml:space="preserve">É uma impropriedade inspirar a reforma brasileira em modelos de países igualitários. Isso, porque há um abismo a separar o contexto histórico e as condições de vida daquelas nações e o contexto histórico e condições de vida vigentes no Brasil, sociedade com longo passado escravagista, de industrialização tardia e com incipiente experiência democrática; essas diferentes condições traduzem-se em profundas desigualdades e heterogeneidades socioeconômicas, demográficas e regionais. </w:t>
      </w:r>
    </w:p>
    <w:p w:rsidR="005C582C" w:rsidRPr="00EC5771" w:rsidRDefault="005C582C" w:rsidP="005C582C">
      <w:pPr>
        <w:tabs>
          <w:tab w:val="right" w:pos="1134"/>
        </w:tabs>
        <w:spacing w:before="240"/>
        <w:jc w:val="both"/>
        <w:rPr>
          <w:rFonts w:ascii="Georgia" w:eastAsiaTheme="minorEastAsia" w:hAnsi="Georgia"/>
        </w:rPr>
      </w:pPr>
      <w:r w:rsidRPr="00EC5771">
        <w:rPr>
          <w:rFonts w:ascii="Georgia" w:eastAsiaTheme="minorHAnsi" w:hAnsi="Georgia"/>
          <w:lang w:eastAsia="en-US"/>
        </w:rPr>
        <w:t xml:space="preserve">Nesse sentido, não é justo que </w:t>
      </w:r>
      <w:r w:rsidRPr="00EC5771">
        <w:rPr>
          <w:rFonts w:ascii="Georgia" w:eastAsiaTheme="minorEastAsia" w:hAnsi="Georgia"/>
          <w:kern w:val="24"/>
        </w:rPr>
        <w:t xml:space="preserve">o trabalhador rural do nordeste do Brasil seja submetido a regras de aposentadoria mais exigentes que as aplicadas ao trabalhador urbano da Escandinávia. Não é juste tratar como igual (homens e mulheres) quem é desigual. E, o que </w:t>
      </w:r>
      <w:r w:rsidRPr="00EC5771">
        <w:rPr>
          <w:rFonts w:ascii="Georgia" w:eastAsiaTheme="minorEastAsia" w:hAnsi="Georgia"/>
          <w:bCs/>
          <w:lang w:eastAsia="en-US"/>
        </w:rPr>
        <w:t xml:space="preserve">esperar de uma democracia que deixa sem proteção os membros mais vulneráveis da sociedade, como os beneficiários do BPC?  </w:t>
      </w:r>
      <w:r w:rsidRPr="00EC5771">
        <w:rPr>
          <w:rFonts w:ascii="Georgia" w:eastAsiaTheme="minorEastAsia" w:hAnsi="Georgia"/>
          <w:color w:val="000000" w:themeColor="text1"/>
          <w:lang w:eastAsia="en-US"/>
        </w:rPr>
        <w:t xml:space="preserve">O que está em curso é a extinção do direito à proteção na velhice. O ímpeto reformista conservador caminha no sentido de desrespeitar o </w:t>
      </w:r>
      <w:r w:rsidRPr="00EC5771">
        <w:rPr>
          <w:rFonts w:ascii="Georgia" w:eastAsiaTheme="minorEastAsia" w:hAnsi="Georgia"/>
        </w:rPr>
        <w:t>artigo 25 da Declaração Universal dos Direitos Humanos de 1948, um monumento em favor da civilização.</w:t>
      </w:r>
    </w:p>
    <w:p w:rsidR="005C582C" w:rsidRPr="00EC5771" w:rsidRDefault="005C582C" w:rsidP="005C582C">
      <w:pPr>
        <w:spacing w:before="240"/>
        <w:jc w:val="both"/>
        <w:textAlignment w:val="baseline"/>
        <w:rPr>
          <w:rFonts w:ascii="Georgia" w:eastAsiaTheme="minorHAnsi" w:hAnsi="Georgia"/>
          <w:lang w:eastAsia="en-US"/>
        </w:rPr>
      </w:pPr>
      <w:r w:rsidRPr="00EC5771">
        <w:rPr>
          <w:rFonts w:ascii="Georgia" w:eastAsiaTheme="minorEastAsia" w:hAnsi="Georgia"/>
          <w:color w:val="000000" w:themeColor="text1"/>
          <w:lang w:eastAsia="en-US"/>
        </w:rPr>
        <w:t xml:space="preserve">A reforma ameaça destruir a Seguridade Social que é o principal mecanismo brasileiro da proteção social. O </w:t>
      </w:r>
      <w:r w:rsidRPr="00EC5771">
        <w:rPr>
          <w:rFonts w:ascii="Georgia" w:eastAsiaTheme="minorEastAsia" w:hAnsi="Georgia"/>
          <w:i/>
          <w:color w:val="000000" w:themeColor="text1"/>
          <w:lang w:eastAsia="en-US"/>
        </w:rPr>
        <w:t>slogan</w:t>
      </w:r>
      <w:r w:rsidRPr="00EC5771">
        <w:rPr>
          <w:rFonts w:ascii="Georgia" w:eastAsiaTheme="minorEastAsia" w:hAnsi="Georgia"/>
          <w:color w:val="000000" w:themeColor="text1"/>
          <w:lang w:eastAsia="en-US"/>
        </w:rPr>
        <w:t xml:space="preserve"> “Reformar hoje para preservar o futuro” é propaganda enganosa. O correto é “Reformar hoje para quebrar amanhã”. </w:t>
      </w:r>
      <w:r w:rsidRPr="00EC5771">
        <w:rPr>
          <w:rFonts w:ascii="Georgia" w:eastAsiaTheme="minorHAnsi" w:hAnsi="Georgia"/>
          <w:lang w:eastAsia="en-US"/>
        </w:rPr>
        <w:t>Em função do caráter restritivo da reforma, além dos atuais 25 milhões de trabalhadores informais que não terão proteção na velhice, uma massa de novos trabalhadores deixará de contribuir em função do caráter excludente da PEC 287, da reforma trabalhista regressiva que tramita no Congresso e da correta percepção de que "se não vou usar, para que pagar?", que, atinge, especialmente, os mais jovens. As camadas mais ricas migrarão para a previdência privada. Essas migrações e abandonos poderão proporcionar a quebra financeira da previdência social, pela forte retração das suas receitas.</w:t>
      </w:r>
    </w:p>
    <w:p w:rsidR="005C582C" w:rsidRPr="00EC5771" w:rsidRDefault="005C582C" w:rsidP="005C582C">
      <w:pPr>
        <w:pStyle w:val="Lista"/>
        <w:shd w:val="clear" w:color="auto" w:fill="FFFFFF" w:themeFill="background1"/>
        <w:spacing w:before="240"/>
        <w:jc w:val="both"/>
        <w:rPr>
          <w:rFonts w:ascii="Georgia" w:hAnsi="Georgia"/>
          <w:szCs w:val="24"/>
        </w:rPr>
      </w:pPr>
      <w:r w:rsidRPr="00EC5771">
        <w:rPr>
          <w:rFonts w:ascii="Georgia" w:hAnsi="Georgia"/>
          <w:szCs w:val="24"/>
        </w:rPr>
        <w:lastRenderedPageBreak/>
        <w:t xml:space="preserve">A PEC 287 tem sido apresentada sempre apoiada em mitos. Desde 1989 os críticos desenvolvem campanha ideológica para "demonizar" a previdência. Essa marcha contempla falácias diversas como, por exemplo, a de que o Brasil "não exige idade mínima para a aposentadoria"; que “a aposentadoria é precoce"; e, que "a previdência é generosa”. Uma leitura atenta da Emenda Constitucional n.20/1998 </w:t>
      </w:r>
      <w:r>
        <w:rPr>
          <w:rFonts w:ascii="Georgia" w:hAnsi="Georgia"/>
          <w:szCs w:val="24"/>
        </w:rPr>
        <w:t xml:space="preserve">e de legislações complementares posteriores </w:t>
      </w:r>
      <w:r w:rsidRPr="00EC5771">
        <w:rPr>
          <w:rFonts w:ascii="Georgia" w:hAnsi="Georgia"/>
          <w:szCs w:val="24"/>
        </w:rPr>
        <w:t>desmonta todas essas falácias.</w:t>
      </w:r>
    </w:p>
    <w:p w:rsidR="005C582C" w:rsidRPr="00EC5771" w:rsidRDefault="005C582C" w:rsidP="005C582C">
      <w:pPr>
        <w:pStyle w:val="Lista"/>
        <w:shd w:val="clear" w:color="auto" w:fill="FFFFFF" w:themeFill="background1"/>
        <w:spacing w:before="240"/>
        <w:jc w:val="both"/>
        <w:rPr>
          <w:rFonts w:ascii="Georgia" w:hAnsi="Georgia"/>
          <w:szCs w:val="24"/>
          <w:lang w:eastAsia="en-US"/>
        </w:rPr>
      </w:pPr>
      <w:r w:rsidRPr="00EC5771">
        <w:rPr>
          <w:rFonts w:ascii="Georgia" w:hAnsi="Georgia"/>
          <w:szCs w:val="24"/>
        </w:rPr>
        <w:t xml:space="preserve">A reforma parte de duas premissas equivocadas. Em primeiro lugar, a ideia de que o </w:t>
      </w:r>
      <w:r w:rsidRPr="00EC5771">
        <w:rPr>
          <w:rFonts w:ascii="Georgia" w:hAnsi="Georgia"/>
          <w:szCs w:val="24"/>
          <w:lang w:eastAsia="en-US"/>
        </w:rPr>
        <w:t xml:space="preserve">envelhecimento é uma "bomba relógio" sobre as finanças da Previdência. É fato que a população está envelhecendo, e que o maior número de idosos pressionará as contas da previdência. Mas isso não implica aceitar o fatalismo demográfico e a ideia de que "não há alternativas". Democracias desenvolvidas enfrentaram e superaram essa questão no século passado e gastam mais que o dobro em previdência, como proporção do PIB, na comparação com o Brasil. Por que o Brasil trataria como "catástrofe" o aumento da expectativa de vida, tão dedicadamente buscado em todo o mundo? </w:t>
      </w:r>
    </w:p>
    <w:p w:rsidR="005C582C" w:rsidRPr="00EC5771" w:rsidRDefault="005C582C" w:rsidP="005C582C">
      <w:pPr>
        <w:spacing w:before="240"/>
        <w:jc w:val="both"/>
        <w:rPr>
          <w:rFonts w:ascii="Georgia" w:eastAsiaTheme="minorEastAsia" w:hAnsi="Georgia"/>
          <w:lang w:eastAsia="en-US"/>
        </w:rPr>
      </w:pPr>
      <w:r w:rsidRPr="00EC5771">
        <w:rPr>
          <w:rFonts w:ascii="Georgia" w:eastAsiaTheme="majorEastAsia" w:hAnsi="Georgia" w:cstheme="majorBidi"/>
          <w:lang w:eastAsia="en-US"/>
        </w:rPr>
        <w:t xml:space="preserve">Em segundo lugar, o </w:t>
      </w:r>
      <w:r w:rsidRPr="00EC5771">
        <w:rPr>
          <w:rFonts w:ascii="Georgia" w:eastAsiaTheme="minorEastAsia" w:hAnsi="Georgia"/>
          <w:lang w:eastAsia="en-US"/>
        </w:rPr>
        <w:t xml:space="preserve">"déficit" da previdência é outra "bomba relógio" de ficção. Como será sublinhado nesse artigo, trata-se de típica "pedalada" contra a Constituição, pois o Brasil, desde 1988, segue o modelo tripartite clássico de (Empregador, Trabalhador e Governo) adotado em diversos países da OCDE para financiar a Seguridade Social. </w:t>
      </w:r>
    </w:p>
    <w:p w:rsidR="005C582C" w:rsidRDefault="005C582C" w:rsidP="004C6CE8">
      <w:pPr>
        <w:pStyle w:val="Lista"/>
        <w:shd w:val="clear" w:color="auto" w:fill="FFFFFF" w:themeFill="background1"/>
        <w:spacing w:before="240"/>
        <w:jc w:val="both"/>
        <w:rPr>
          <w:rFonts w:ascii="Georgia" w:hAnsi="Georgia"/>
          <w:szCs w:val="24"/>
        </w:rPr>
      </w:pPr>
    </w:p>
    <w:p w:rsidR="001E0B50" w:rsidRPr="00D52AEF" w:rsidRDefault="004C6CE8" w:rsidP="004C6CE8">
      <w:pPr>
        <w:pStyle w:val="PargrafodaLista"/>
        <w:numPr>
          <w:ilvl w:val="0"/>
          <w:numId w:val="42"/>
        </w:numPr>
        <w:shd w:val="clear" w:color="auto" w:fill="FFFFFF" w:themeFill="background1"/>
        <w:spacing w:before="240" w:after="120"/>
        <w:ind w:left="0" w:firstLine="0"/>
        <w:contextualSpacing w:val="0"/>
        <w:jc w:val="both"/>
        <w:rPr>
          <w:rFonts w:asciiTheme="minorHAnsi" w:hAnsiTheme="minorHAnsi" w:cstheme="minorHAnsi"/>
          <w:b/>
          <w:sz w:val="28"/>
        </w:rPr>
      </w:pPr>
      <w:r w:rsidRPr="00D52AEF">
        <w:rPr>
          <w:rFonts w:asciiTheme="minorHAnsi" w:hAnsiTheme="minorHAnsi" w:cstheme="minorHAnsi"/>
          <w:b/>
          <w:sz w:val="28"/>
        </w:rPr>
        <w:t xml:space="preserve">UM LONGO PROCESSO DE NEGAÇÃO DA CONSTITUIÇÃO DE 1988 </w:t>
      </w:r>
      <w:r w:rsidR="001E0B50" w:rsidRPr="00D52AEF">
        <w:rPr>
          <w:rStyle w:val="Refdenotaderodap"/>
          <w:rFonts w:asciiTheme="minorHAnsi" w:hAnsiTheme="minorHAnsi" w:cstheme="minorHAnsi"/>
          <w:b/>
          <w:sz w:val="28"/>
        </w:rPr>
        <w:footnoteReference w:id="4"/>
      </w:r>
    </w:p>
    <w:p w:rsidR="00EC5771" w:rsidRDefault="00EC5771" w:rsidP="004C6CE8">
      <w:pPr>
        <w:pStyle w:val="Recuodecorpodetexto3"/>
        <w:shd w:val="clear" w:color="auto" w:fill="FFFFFF" w:themeFill="background1"/>
        <w:spacing w:before="240"/>
        <w:ind w:left="0"/>
        <w:jc w:val="both"/>
        <w:rPr>
          <w:rFonts w:ascii="Georgia" w:hAnsi="Georgia" w:cs="Arial"/>
          <w:sz w:val="24"/>
          <w:szCs w:val="24"/>
        </w:rPr>
      </w:pPr>
    </w:p>
    <w:p w:rsidR="001E0B50" w:rsidRPr="00291E7D" w:rsidRDefault="001E0B50" w:rsidP="004C6CE8">
      <w:pPr>
        <w:pStyle w:val="Recuodecorpodetexto3"/>
        <w:shd w:val="clear" w:color="auto" w:fill="FFFFFF" w:themeFill="background1"/>
        <w:spacing w:before="240"/>
        <w:ind w:left="0"/>
        <w:jc w:val="both"/>
        <w:rPr>
          <w:rFonts w:ascii="Georgia" w:hAnsi="Georgia" w:cs="Arial"/>
          <w:color w:val="1F497D" w:themeColor="text2"/>
          <w:sz w:val="24"/>
          <w:szCs w:val="24"/>
        </w:rPr>
      </w:pPr>
      <w:r w:rsidRPr="00EC5771">
        <w:rPr>
          <w:rFonts w:ascii="Georgia" w:hAnsi="Georgia" w:cs="Arial"/>
          <w:sz w:val="24"/>
          <w:szCs w:val="24"/>
        </w:rPr>
        <w:t>As décadas entre 19</w:t>
      </w:r>
      <w:r w:rsidR="00680ADC" w:rsidRPr="00EC5771">
        <w:rPr>
          <w:rFonts w:ascii="Georgia" w:hAnsi="Georgia" w:cs="Arial"/>
          <w:sz w:val="24"/>
          <w:szCs w:val="24"/>
        </w:rPr>
        <w:t>7</w:t>
      </w:r>
      <w:r w:rsidRPr="00EC5771">
        <w:rPr>
          <w:rFonts w:ascii="Georgia" w:hAnsi="Georgia" w:cs="Arial"/>
          <w:sz w:val="24"/>
          <w:szCs w:val="24"/>
        </w:rPr>
        <w:t>0 e 201</w:t>
      </w:r>
      <w:r w:rsidR="00680ADC" w:rsidRPr="00EC5771">
        <w:rPr>
          <w:rFonts w:ascii="Georgia" w:hAnsi="Georgia" w:cs="Arial"/>
          <w:sz w:val="24"/>
          <w:szCs w:val="24"/>
        </w:rPr>
        <w:t>6</w:t>
      </w:r>
      <w:r w:rsidRPr="00EC5771">
        <w:rPr>
          <w:rFonts w:ascii="Georgia" w:hAnsi="Georgia" w:cs="Arial"/>
          <w:sz w:val="24"/>
          <w:szCs w:val="24"/>
        </w:rPr>
        <w:t xml:space="preserve"> marcam o fim dos chamados “trinta anos de ouro” de “capitalismo domesticado” e a ascensão do neoliberalismo em escala global. O Brasil, todavia, num primeiro momento, seguiu a rota inversa. Nos anos finais da década de 1970 e ao longo dos anos de 1980, caminhamos na contramão do mundo. Os ventos da redemocratização do país, mais intensos a partir de meados dos anos de 1970, sopraram na direção contrária dessa via de destruição. O notável movimento social que lutava pela redemocratização do país construiu uma agenda de mudanças que visava, em última instância, ao acerto de contas com a ditadura militar. Naquele momento, não havia solo fértil para que a investida neoliberal germinasse. A rota forjada pelo movimento social tinha como destino a Assembleia Nacional Constituinte. Após uma árdua marcha, a Constituição de 1988 restabeleceu a democracia e consagrou as bases de um sistema de proteção social universal e inspirado no Estado de Bem-estar Social</w:t>
      </w:r>
      <w:r w:rsidR="00291E7D">
        <w:rPr>
          <w:rFonts w:ascii="Georgia" w:hAnsi="Georgia" w:cs="Arial"/>
          <w:sz w:val="24"/>
          <w:szCs w:val="24"/>
        </w:rPr>
        <w:t xml:space="preserve"> </w:t>
      </w:r>
      <w:r w:rsidR="00291E7D" w:rsidRPr="00291E7D">
        <w:rPr>
          <w:rFonts w:ascii="Georgia" w:hAnsi="Georgia" w:cs="Arial"/>
          <w:color w:val="1F497D" w:themeColor="text2"/>
          <w:sz w:val="24"/>
          <w:szCs w:val="24"/>
        </w:rPr>
        <w:t>(FAGNANI, 2005)</w:t>
      </w:r>
      <w:r w:rsidRPr="00291E7D">
        <w:rPr>
          <w:rFonts w:ascii="Georgia" w:hAnsi="Georgia" w:cs="Arial"/>
          <w:color w:val="1F497D" w:themeColor="text2"/>
          <w:sz w:val="24"/>
          <w:szCs w:val="24"/>
        </w:rPr>
        <w:t xml:space="preserve">. </w:t>
      </w:r>
    </w:p>
    <w:p w:rsidR="002A3A3A" w:rsidRPr="002A3A3A" w:rsidRDefault="002A3A3A" w:rsidP="004C6CE8">
      <w:pPr>
        <w:shd w:val="clear" w:color="auto" w:fill="FFFFFF" w:themeFill="background1"/>
        <w:spacing w:before="240" w:after="120"/>
        <w:jc w:val="both"/>
        <w:rPr>
          <w:rFonts w:ascii="Georgia" w:hAnsi="Georgia"/>
          <w:b/>
          <w:color w:val="000000"/>
        </w:rPr>
      </w:pPr>
      <w:r w:rsidRPr="002A3A3A">
        <w:rPr>
          <w:rFonts w:ascii="Georgia" w:hAnsi="Georgia"/>
          <w:b/>
          <w:color w:val="000000"/>
        </w:rPr>
        <w:t>O pacto conservador da transição democrática</w:t>
      </w:r>
      <w:r w:rsidR="00E442FC">
        <w:rPr>
          <w:rFonts w:ascii="Georgia" w:hAnsi="Georgia"/>
          <w:b/>
          <w:color w:val="000000"/>
        </w:rPr>
        <w:t xml:space="preserve"> (1985-1990): as primeiras contramarchas</w:t>
      </w:r>
    </w:p>
    <w:p w:rsidR="001E0B50" w:rsidRPr="00EC5771" w:rsidRDefault="00DE5A28" w:rsidP="004C6CE8">
      <w:pPr>
        <w:shd w:val="clear" w:color="auto" w:fill="FFFFFF" w:themeFill="background1"/>
        <w:spacing w:before="240" w:after="120"/>
        <w:jc w:val="both"/>
        <w:rPr>
          <w:rFonts w:ascii="Georgia" w:hAnsi="Georgia" w:cs="Arial"/>
        </w:rPr>
      </w:pPr>
      <w:r w:rsidRPr="00EC5771">
        <w:rPr>
          <w:rFonts w:ascii="Georgia" w:hAnsi="Georgia"/>
          <w:color w:val="000000"/>
        </w:rPr>
        <w:lastRenderedPageBreak/>
        <w:t>Entretanto, a</w:t>
      </w:r>
      <w:r w:rsidR="00B4098D" w:rsidRPr="00EC5771">
        <w:rPr>
          <w:rFonts w:ascii="Georgia" w:hAnsi="Georgia"/>
          <w:color w:val="000000"/>
        </w:rPr>
        <w:t xml:space="preserve">s classes dominantes jamais aceitaram a derrota sofrida em 1988, mesmo quando se trata apenas de garantir direitos sociais básicos para a construção de uma sociedade democrática e justa. </w:t>
      </w:r>
      <w:r w:rsidR="00B4098D" w:rsidRPr="00EC5771">
        <w:rPr>
          <w:rFonts w:ascii="Georgia" w:hAnsi="Georgia"/>
        </w:rPr>
        <w:t>Uma das principais derrotas das elites em 1988 foi o capítulo da Seguridade Social. Desde os trabalhos da Assembleia Nacional Constituinte (ANC), elas se e</w:t>
      </w:r>
      <w:r w:rsidR="00B4098D" w:rsidRPr="00EC5771">
        <w:rPr>
          <w:rFonts w:ascii="Georgia" w:eastAsia="Arial Unicode MS" w:hAnsi="Georgia"/>
        </w:rPr>
        <w:t xml:space="preserve">sforçam para </w:t>
      </w:r>
      <w:r w:rsidR="00B4098D" w:rsidRPr="00EC5771">
        <w:rPr>
          <w:rFonts w:ascii="Georgia" w:hAnsi="Georgia"/>
        </w:rPr>
        <w:t xml:space="preserve">"comprovar" a inviabilidade financeira da Previdência e propõem reformas para fazer retroceder conquistas – muitas das quais já efetivadas. Em última instância, esses setores </w:t>
      </w:r>
      <w:r w:rsidR="001E0B50" w:rsidRPr="00EC5771">
        <w:rPr>
          <w:rFonts w:ascii="Georgia" w:hAnsi="Georgia" w:cs="Arial"/>
        </w:rPr>
        <w:t xml:space="preserve">jamais aceitaram o </w:t>
      </w:r>
      <w:r w:rsidR="00B4098D" w:rsidRPr="00EC5771">
        <w:rPr>
          <w:rFonts w:ascii="Georgia" w:hAnsi="Georgia" w:cs="Arial"/>
        </w:rPr>
        <w:t xml:space="preserve">fato de que </w:t>
      </w:r>
      <w:r w:rsidR="001E0B50" w:rsidRPr="00EC5771">
        <w:rPr>
          <w:rFonts w:ascii="Georgia" w:hAnsi="Georgia" w:cs="Arial"/>
        </w:rPr>
        <w:t xml:space="preserve">mais de 10% do gasto público, em relação ao PIB, passaram a ser vinculados constitucionalmente aos direitos sociais. </w:t>
      </w:r>
      <w:r w:rsidRPr="00EC5771">
        <w:rPr>
          <w:rFonts w:ascii="Georgia" w:hAnsi="Georgia" w:cs="Arial"/>
        </w:rPr>
        <w:t xml:space="preserve">E, </w:t>
      </w:r>
      <w:r w:rsidR="00410DF2" w:rsidRPr="00EC5771">
        <w:rPr>
          <w:rFonts w:ascii="Georgia" w:hAnsi="Georgia" w:cs="Arial"/>
        </w:rPr>
        <w:t>a Previdência passou a ser demonizada, pois consome a maior parte desses recursos (7,5 do PIB</w:t>
      </w:r>
      <w:r w:rsidR="009D1E50" w:rsidRPr="00EC5771">
        <w:rPr>
          <w:rFonts w:ascii="Georgia" w:hAnsi="Georgia" w:cs="Arial"/>
        </w:rPr>
        <w:t>).</w:t>
      </w:r>
      <w:r w:rsidR="00410DF2" w:rsidRPr="00EC5771">
        <w:rPr>
          <w:rFonts w:ascii="Georgia" w:hAnsi="Georgia" w:cs="Arial"/>
        </w:rPr>
        <w:t xml:space="preserve"> </w:t>
      </w:r>
    </w:p>
    <w:p w:rsidR="00724831" w:rsidRPr="00EC5771" w:rsidRDefault="001E0B50" w:rsidP="004C6CE8">
      <w:pPr>
        <w:pStyle w:val="Recuodecorpodetexto3"/>
        <w:shd w:val="clear" w:color="auto" w:fill="FFFFFF" w:themeFill="background1"/>
        <w:spacing w:before="240"/>
        <w:ind w:left="0"/>
        <w:jc w:val="both"/>
        <w:rPr>
          <w:rFonts w:ascii="Georgia" w:hAnsi="Georgia"/>
          <w:color w:val="000000"/>
          <w:sz w:val="24"/>
          <w:szCs w:val="24"/>
        </w:rPr>
      </w:pPr>
      <w:r w:rsidRPr="00EC5771">
        <w:rPr>
          <w:rFonts w:ascii="Georgia" w:hAnsi="Georgia" w:cs="Arial"/>
          <w:sz w:val="24"/>
          <w:szCs w:val="24"/>
        </w:rPr>
        <w:t xml:space="preserve">É exatamente por isso que, desde o início dos trabalhos da ANC e até os dias de hoje, aqueles setores se esforçam em fazer retroceder a cidadania social conquistada. </w:t>
      </w:r>
      <w:r w:rsidRPr="00EC5771">
        <w:rPr>
          <w:rFonts w:ascii="Georgia" w:hAnsi="Georgia"/>
          <w:sz w:val="24"/>
          <w:szCs w:val="24"/>
        </w:rPr>
        <w:t>Durante a acirrada disputa na ANC</w:t>
      </w:r>
      <w:r w:rsidR="00410DF2" w:rsidRPr="00EC5771">
        <w:rPr>
          <w:rFonts w:ascii="Georgia" w:hAnsi="Georgia"/>
          <w:sz w:val="24"/>
          <w:szCs w:val="24"/>
        </w:rPr>
        <w:t xml:space="preserve">, nada se </w:t>
      </w:r>
      <w:r w:rsidRPr="00EC5771">
        <w:rPr>
          <w:rFonts w:ascii="Georgia" w:hAnsi="Georgia"/>
          <w:sz w:val="24"/>
          <w:szCs w:val="24"/>
        </w:rPr>
        <w:t>compara a um ato emblemático do presidente José Sarney</w:t>
      </w:r>
      <w:r w:rsidR="00410DF2" w:rsidRPr="00EC5771">
        <w:rPr>
          <w:rFonts w:ascii="Georgia" w:hAnsi="Georgia"/>
          <w:sz w:val="24"/>
          <w:szCs w:val="24"/>
        </w:rPr>
        <w:t xml:space="preserve"> (1985-1990)</w:t>
      </w:r>
      <w:r w:rsidRPr="00EC5771">
        <w:rPr>
          <w:rFonts w:ascii="Georgia" w:hAnsi="Georgia"/>
          <w:sz w:val="24"/>
          <w:szCs w:val="24"/>
        </w:rPr>
        <w:t xml:space="preserve">. Quando teria início a votação da última fase da ANC, numa derradeira tentativa para modificar os rumos dos trabalhos, Sarney convocou cadeia nacional de rádio e televisão para “alertar o povo e os constituintes” para “os perigos” que algumas das decisões contidas no texto aprovado no primeiro turno representavam para o futuro do país. Defendeu a tese que o país tornar-se-ia “ingovernável”. </w:t>
      </w:r>
      <w:r w:rsidR="009D1E50" w:rsidRPr="00EC5771">
        <w:rPr>
          <w:rFonts w:ascii="Georgia" w:hAnsi="Georgia"/>
          <w:sz w:val="24"/>
          <w:szCs w:val="24"/>
        </w:rPr>
        <w:t>O inimigo da governabilidade era a Seguridade Social que causaria uma “explosão brutal de gastos públicos”</w:t>
      </w:r>
      <w:r w:rsidR="009D1E50">
        <w:rPr>
          <w:rFonts w:ascii="Georgia" w:hAnsi="Georgia"/>
          <w:sz w:val="24"/>
          <w:szCs w:val="24"/>
        </w:rPr>
        <w:t xml:space="preserve">. </w:t>
      </w:r>
      <w:r w:rsidR="009D1E50" w:rsidRPr="00EC5771">
        <w:rPr>
          <w:rStyle w:val="Refdenotaderodap"/>
          <w:rFonts w:ascii="Georgia" w:hAnsi="Georgia"/>
          <w:sz w:val="24"/>
          <w:szCs w:val="24"/>
        </w:rPr>
        <w:footnoteReference w:id="5"/>
      </w:r>
      <w:r w:rsidR="009D1E50" w:rsidRPr="00EC5771">
        <w:rPr>
          <w:rFonts w:ascii="Georgia" w:hAnsi="Georgia"/>
          <w:sz w:val="24"/>
          <w:szCs w:val="24"/>
        </w:rPr>
        <w:t xml:space="preserve"> Nas décadas seguintes, a tese da “ingovernabilidade” foi realimentada nas décadas seguintes por diversos autores liberais como </w:t>
      </w:r>
      <w:r w:rsidR="009D1E50" w:rsidRPr="00890F09">
        <w:rPr>
          <w:rFonts w:ascii="Georgia" w:eastAsia="Arial Unicode MS" w:hAnsi="Georgia" w:cs="Arial"/>
          <w:color w:val="365F91" w:themeColor="accent1" w:themeShade="BF"/>
          <w:sz w:val="24"/>
          <w:szCs w:val="24"/>
        </w:rPr>
        <w:t xml:space="preserve">Roberto Campos (1994), </w:t>
      </w:r>
      <w:r w:rsidR="009D1E50" w:rsidRPr="00890F09">
        <w:rPr>
          <w:rFonts w:ascii="Georgia" w:hAnsi="Georgia"/>
          <w:color w:val="365F91" w:themeColor="accent1" w:themeShade="BF"/>
          <w:sz w:val="24"/>
          <w:szCs w:val="24"/>
        </w:rPr>
        <w:t xml:space="preserve">Samuel Pessoa (2007), </w:t>
      </w:r>
      <w:r w:rsidR="009D1E50" w:rsidRPr="00890F09">
        <w:rPr>
          <w:rFonts w:ascii="Georgia" w:eastAsia="Arial Unicode MS" w:hAnsi="Georgia" w:cs="Arial"/>
          <w:color w:val="365F91" w:themeColor="accent1" w:themeShade="BF"/>
          <w:sz w:val="24"/>
          <w:szCs w:val="24"/>
        </w:rPr>
        <w:t>Fábio Giambiagi (</w:t>
      </w:r>
      <w:r w:rsidR="009D1E50" w:rsidRPr="00890F09">
        <w:rPr>
          <w:rFonts w:ascii="Georgia" w:hAnsi="Georgia"/>
          <w:color w:val="365F91" w:themeColor="accent1" w:themeShade="BF"/>
          <w:sz w:val="24"/>
          <w:szCs w:val="24"/>
        </w:rPr>
        <w:t xml:space="preserve">2007), Maílson da Nobrega (2005), </w:t>
      </w:r>
      <w:r w:rsidR="009D1E50" w:rsidRPr="00EC5771">
        <w:rPr>
          <w:rFonts w:ascii="Georgia" w:hAnsi="Georgia"/>
          <w:color w:val="000000"/>
          <w:sz w:val="24"/>
          <w:szCs w:val="24"/>
        </w:rPr>
        <w:t>por exemplo.</w:t>
      </w:r>
    </w:p>
    <w:p w:rsidR="00FE144A" w:rsidRPr="00EC5771" w:rsidRDefault="00FE144A" w:rsidP="004C6CE8">
      <w:pPr>
        <w:shd w:val="clear" w:color="auto" w:fill="FFFFFF" w:themeFill="background1"/>
        <w:spacing w:before="240" w:after="120"/>
        <w:jc w:val="both"/>
        <w:rPr>
          <w:rFonts w:ascii="Georgia" w:hAnsi="Georgia" w:cs="Arial"/>
          <w:color w:val="000000"/>
        </w:rPr>
      </w:pPr>
      <w:r w:rsidRPr="00EC5771">
        <w:rPr>
          <w:rFonts w:ascii="Georgia" w:hAnsi="Georgia"/>
          <w:color w:val="000000"/>
        </w:rPr>
        <w:t xml:space="preserve">No entanto, os apelos do presidente da República não foram ouvidos e a reação do seu governo </w:t>
      </w:r>
      <w:r w:rsidR="000A1C6B" w:rsidRPr="00EC5771">
        <w:rPr>
          <w:rFonts w:ascii="Georgia" w:hAnsi="Georgia"/>
          <w:color w:val="000000"/>
        </w:rPr>
        <w:t xml:space="preserve">contra </w:t>
      </w:r>
      <w:r w:rsidRPr="00EC5771">
        <w:rPr>
          <w:rFonts w:ascii="Georgia" w:hAnsi="Georgia"/>
          <w:color w:val="000000"/>
        </w:rPr>
        <w:t xml:space="preserve">a </w:t>
      </w:r>
      <w:r w:rsidR="000A1C6B" w:rsidRPr="00EC5771">
        <w:rPr>
          <w:rFonts w:ascii="Georgia" w:hAnsi="Georgia"/>
          <w:color w:val="000000"/>
        </w:rPr>
        <w:t xml:space="preserve">“Ordem Social” inicia-se ainda em 1988. </w:t>
      </w:r>
      <w:r w:rsidR="001E0B50" w:rsidRPr="00EC5771">
        <w:rPr>
          <w:rFonts w:ascii="Georgia" w:hAnsi="Georgia"/>
          <w:color w:val="000000"/>
        </w:rPr>
        <w:t>Em meados de</w:t>
      </w:r>
      <w:r w:rsidR="000A1C6B" w:rsidRPr="00EC5771">
        <w:rPr>
          <w:rFonts w:ascii="Georgia" w:hAnsi="Georgia"/>
          <w:color w:val="000000"/>
        </w:rPr>
        <w:t>sse ano</w:t>
      </w:r>
      <w:r w:rsidR="001E0B50" w:rsidRPr="00EC5771">
        <w:rPr>
          <w:rFonts w:ascii="Georgia" w:hAnsi="Georgia"/>
          <w:color w:val="000000"/>
        </w:rPr>
        <w:t xml:space="preserve">, a área econômica deflagrou diversas estratégias sucessivas visando a impedir a consumação dos novos direitos constitucionais. Uma delas determinou que o Instituto de Administração da Previdência Social </w:t>
      </w:r>
      <w:r w:rsidRPr="00EC5771">
        <w:rPr>
          <w:rFonts w:ascii="Georgia" w:hAnsi="Georgia"/>
          <w:color w:val="000000"/>
        </w:rPr>
        <w:t>(</w:t>
      </w:r>
      <w:r w:rsidR="001E0B50" w:rsidRPr="00EC5771">
        <w:rPr>
          <w:rFonts w:ascii="Georgia" w:hAnsi="Georgia"/>
          <w:color w:val="000000"/>
        </w:rPr>
        <w:t>IAPAS</w:t>
      </w:r>
      <w:r w:rsidRPr="00EC5771">
        <w:rPr>
          <w:rFonts w:ascii="Georgia" w:hAnsi="Georgia"/>
          <w:color w:val="000000"/>
        </w:rPr>
        <w:t>)</w:t>
      </w:r>
      <w:r w:rsidR="001E0B50" w:rsidRPr="00EC5771">
        <w:rPr>
          <w:rFonts w:ascii="Georgia" w:hAnsi="Georgia"/>
          <w:color w:val="000000"/>
        </w:rPr>
        <w:t>, que zelaria pelo cumprimento da Constituição no que se refere à gestão do Orçamento da Seguridade Social, f</w:t>
      </w:r>
      <w:r w:rsidR="001E0B50" w:rsidRPr="00EC5771">
        <w:rPr>
          <w:rFonts w:ascii="Georgia" w:hAnsi="Georgia" w:cs="Arial"/>
          <w:color w:val="000000"/>
        </w:rPr>
        <w:t xml:space="preserve">osse transferido para o ministério da Fazenda. As receitas da Seguridade Social passaram a ser recolhidas e administradas pelo Tesouro Nacional. </w:t>
      </w:r>
    </w:p>
    <w:p w:rsidR="00DD3014" w:rsidRPr="00EC5771" w:rsidRDefault="001E0B50" w:rsidP="004C6CE8">
      <w:pPr>
        <w:shd w:val="clear" w:color="auto" w:fill="FFFFFF" w:themeFill="background1"/>
        <w:spacing w:before="240" w:after="120"/>
        <w:jc w:val="both"/>
        <w:rPr>
          <w:rFonts w:ascii="Georgia" w:hAnsi="Georgia"/>
          <w:color w:val="000000"/>
        </w:rPr>
      </w:pPr>
      <w:r w:rsidRPr="00EC5771">
        <w:rPr>
          <w:rFonts w:ascii="Georgia" w:hAnsi="Georgia" w:cs="Arial"/>
          <w:color w:val="000000"/>
        </w:rPr>
        <w:t>Essa decisão caminhava na direção oposta ditada pela C</w:t>
      </w:r>
      <w:r w:rsidR="000A1C6B" w:rsidRPr="00EC5771">
        <w:rPr>
          <w:rFonts w:ascii="Georgia" w:hAnsi="Georgia" w:cs="Arial"/>
          <w:color w:val="000000"/>
        </w:rPr>
        <w:t xml:space="preserve">F-88 e foi </w:t>
      </w:r>
      <w:r w:rsidRPr="00EC5771">
        <w:rPr>
          <w:rFonts w:ascii="Georgia" w:hAnsi="Georgia" w:cs="Arial"/>
          <w:color w:val="000000"/>
        </w:rPr>
        <w:t xml:space="preserve">recebida com revolta pelas forças políticas que lutaram na ANC pelas mudanças nesses setores. </w:t>
      </w:r>
      <w:r w:rsidRPr="00EC5771">
        <w:rPr>
          <w:rFonts w:ascii="Georgia" w:hAnsi="Georgia"/>
          <w:color w:val="000000"/>
        </w:rPr>
        <w:t xml:space="preserve">O senador Almir Gabriel (PMDB-PA), relator do projeto da </w:t>
      </w:r>
      <w:r w:rsidR="000A1C6B" w:rsidRPr="00EC5771">
        <w:rPr>
          <w:rFonts w:ascii="Georgia" w:hAnsi="Georgia"/>
          <w:color w:val="000000"/>
        </w:rPr>
        <w:t>S</w:t>
      </w:r>
      <w:r w:rsidRPr="00EC5771">
        <w:rPr>
          <w:rFonts w:ascii="Georgia" w:hAnsi="Georgia"/>
          <w:color w:val="000000"/>
        </w:rPr>
        <w:t xml:space="preserve">eguridade </w:t>
      </w:r>
      <w:r w:rsidR="000A1C6B" w:rsidRPr="00EC5771">
        <w:rPr>
          <w:rFonts w:ascii="Georgia" w:hAnsi="Georgia"/>
          <w:color w:val="000000"/>
        </w:rPr>
        <w:t>S</w:t>
      </w:r>
      <w:r w:rsidRPr="00EC5771">
        <w:rPr>
          <w:rFonts w:ascii="Georgia" w:hAnsi="Georgia"/>
          <w:color w:val="000000"/>
        </w:rPr>
        <w:t xml:space="preserve">ocial </w:t>
      </w:r>
      <w:r w:rsidR="000A1C6B" w:rsidRPr="00EC5771">
        <w:rPr>
          <w:rFonts w:ascii="Georgia" w:hAnsi="Georgia"/>
          <w:color w:val="000000"/>
        </w:rPr>
        <w:t>na CF-88</w:t>
      </w:r>
      <w:r w:rsidRPr="00EC5771">
        <w:rPr>
          <w:rFonts w:ascii="Georgia" w:hAnsi="Georgia"/>
          <w:color w:val="000000"/>
        </w:rPr>
        <w:t xml:space="preserve">, por exemplo, advertiu que a medida era inconstitucional. Antevendo os fatos, o senador não tinha dúvidas de que os recursos da Previdência seriam utilizados para “tapar o buraco” do déficit público. A inconstitucionalidade da medida era patente, na medida em que, segundo explicou, a Constituição tornava bem clara a separação dos recursos provenientes das contribuições e os novos impostos resultantes das taxações sobre o lucro líquido das empresas e bancos. Por isso, “não via nenhum amparo </w:t>
      </w:r>
      <w:r w:rsidRPr="00EC5771">
        <w:rPr>
          <w:rFonts w:ascii="Georgia" w:hAnsi="Georgia"/>
          <w:color w:val="000000"/>
        </w:rPr>
        <w:lastRenderedPageBreak/>
        <w:t>jurídico ou constitucional para a transferência, tentada há mais de 25 anos pelo governo”</w:t>
      </w:r>
      <w:r w:rsidR="00DD3014" w:rsidRPr="00EC5771">
        <w:rPr>
          <w:rFonts w:ascii="Georgia" w:hAnsi="Georgia"/>
          <w:color w:val="000000"/>
        </w:rPr>
        <w:t xml:space="preserve">. </w:t>
      </w:r>
      <w:r w:rsidR="00DD3014" w:rsidRPr="00EC5771">
        <w:rPr>
          <w:rStyle w:val="Refdenotaderodap"/>
          <w:rFonts w:ascii="Georgia" w:hAnsi="Georgia"/>
          <w:color w:val="000000"/>
        </w:rPr>
        <w:footnoteReference w:id="6"/>
      </w:r>
    </w:p>
    <w:p w:rsidR="00985EFF" w:rsidRPr="00EC5771" w:rsidRDefault="00985EFF" w:rsidP="004C6CE8">
      <w:pPr>
        <w:shd w:val="clear" w:color="auto" w:fill="FFFFFF" w:themeFill="background1"/>
        <w:spacing w:before="240" w:after="120"/>
        <w:jc w:val="both"/>
        <w:rPr>
          <w:rFonts w:ascii="Georgia" w:hAnsi="Georgia" w:cs="Arial"/>
        </w:rPr>
      </w:pPr>
      <w:r w:rsidRPr="00EC5771">
        <w:rPr>
          <w:rFonts w:ascii="Georgia" w:hAnsi="Georgia"/>
          <w:bCs/>
        </w:rPr>
        <w:t>As profecias de Almir Gabriel realizaram-se já em 1989. Nesse ano</w:t>
      </w:r>
      <w:r w:rsidR="00FE144A" w:rsidRPr="00EC5771">
        <w:rPr>
          <w:rFonts w:ascii="Georgia" w:hAnsi="Georgia"/>
          <w:bCs/>
        </w:rPr>
        <w:t>, mais da metade da receita prevista como arrecadação da C</w:t>
      </w:r>
      <w:r w:rsidRPr="00EC5771">
        <w:rPr>
          <w:rFonts w:ascii="Georgia" w:hAnsi="Georgia"/>
          <w:bCs/>
        </w:rPr>
        <w:t>ofins</w:t>
      </w:r>
      <w:r w:rsidR="00FE144A" w:rsidRPr="00EC5771">
        <w:rPr>
          <w:rFonts w:ascii="Georgia" w:hAnsi="Georgia"/>
          <w:bCs/>
        </w:rPr>
        <w:t xml:space="preserve"> foi destinada ao pagamento dos inativos e pensionistas da União. Apenas uma pequena parcela da arrecadação dessa contribuição social foi destinada à cobertura dos benefícios da previdência social </w:t>
      </w:r>
      <w:r w:rsidRPr="00EC5771">
        <w:rPr>
          <w:rFonts w:ascii="Georgia" w:hAnsi="Georgia"/>
          <w:bCs/>
        </w:rPr>
        <w:t>(</w:t>
      </w:r>
      <w:r w:rsidRPr="00EC5771">
        <w:rPr>
          <w:rFonts w:ascii="Georgia" w:hAnsi="Georgia" w:cs="Arial"/>
        </w:rPr>
        <w:t xml:space="preserve">Azeredo, 1990). Em meados de 1989, o relator </w:t>
      </w:r>
      <w:r w:rsidR="00EC5771" w:rsidRPr="00EC5771">
        <w:rPr>
          <w:rFonts w:ascii="Georgia" w:hAnsi="Georgia"/>
          <w:color w:val="000000"/>
        </w:rPr>
        <w:t xml:space="preserve">do projeto da Seguridade Social na CF-88 fez nova advertência: </w:t>
      </w:r>
    </w:p>
    <w:p w:rsidR="00985EFF" w:rsidRPr="007F4E2C" w:rsidRDefault="00985EFF" w:rsidP="004C6CE8">
      <w:pPr>
        <w:shd w:val="clear" w:color="auto" w:fill="FFFFFF" w:themeFill="background1"/>
        <w:spacing w:before="240" w:after="120"/>
        <w:jc w:val="both"/>
        <w:rPr>
          <w:rFonts w:ascii="Georgia" w:hAnsi="Georgia" w:cs="Arial"/>
          <w:i/>
          <w:sz w:val="20"/>
          <w:szCs w:val="18"/>
        </w:rPr>
      </w:pPr>
      <w:r w:rsidRPr="007F4E2C">
        <w:rPr>
          <w:rFonts w:ascii="Georgia" w:hAnsi="Georgia" w:cs="Arial"/>
          <w:i/>
          <w:sz w:val="20"/>
          <w:szCs w:val="18"/>
        </w:rPr>
        <w:t xml:space="preserve"> </w:t>
      </w:r>
      <w:r w:rsidR="009D1E50" w:rsidRPr="007F4E2C">
        <w:rPr>
          <w:rFonts w:ascii="Georgia" w:hAnsi="Georgia" w:cs="Arial"/>
          <w:i/>
          <w:sz w:val="20"/>
          <w:szCs w:val="18"/>
        </w:rPr>
        <w:t>“É interessante, para o governo, que o déficit público apareça na Previdência exatamente por este motivo: como não se pode aumentar a receita com impostos, o déficit da Previdência é um pretexto. Recursos que deveriam ter sido alocados no ministério foram desviados para outros setores, para cobrir outros setores, para cobrir outros buracos de caixa. Além de deixar de custear a máquina previdenciária, não arcando com as despesas administrativas e de pessoal, o governo está utilizando parte do Finsocial para pagar os segurados e pensionistas da União, que sempre foram pagos com recursos do Tesouro Nacional e não do IAPAS”</w:t>
      </w:r>
      <w:r w:rsidR="009D1E50">
        <w:rPr>
          <w:rFonts w:ascii="Georgia" w:hAnsi="Georgia" w:cs="Arial"/>
          <w:i/>
          <w:sz w:val="20"/>
          <w:szCs w:val="18"/>
        </w:rPr>
        <w:t xml:space="preserve">. </w:t>
      </w:r>
      <w:r w:rsidR="009D1E50" w:rsidRPr="007F4E2C">
        <w:rPr>
          <w:rFonts w:ascii="Georgia" w:hAnsi="Georgia" w:cs="Arial"/>
          <w:i/>
          <w:sz w:val="20"/>
          <w:szCs w:val="18"/>
        </w:rPr>
        <w:t xml:space="preserve"> </w:t>
      </w:r>
      <w:r w:rsidR="009D1E50" w:rsidRPr="007F4E2C">
        <w:rPr>
          <w:rStyle w:val="Refdenotaderodap"/>
          <w:rFonts w:ascii="Georgia" w:hAnsi="Georgia"/>
          <w:i/>
          <w:sz w:val="20"/>
          <w:szCs w:val="18"/>
        </w:rPr>
        <w:footnoteReference w:id="7"/>
      </w:r>
    </w:p>
    <w:p w:rsidR="007132AD" w:rsidRPr="002E7A99" w:rsidRDefault="004330CF" w:rsidP="004C6CE8">
      <w:pPr>
        <w:pStyle w:val="NormalWeb"/>
        <w:shd w:val="clear" w:color="auto" w:fill="FFFFFF" w:themeFill="background1"/>
        <w:spacing w:before="240" w:beforeAutospacing="0" w:after="120" w:afterAutospacing="0"/>
        <w:jc w:val="both"/>
        <w:rPr>
          <w:rFonts w:ascii="Georgia" w:hAnsi="Georgia"/>
          <w:bCs/>
          <w:color w:val="000000"/>
          <w:szCs w:val="22"/>
        </w:rPr>
      </w:pPr>
      <w:r w:rsidRPr="002E7A99">
        <w:rPr>
          <w:rFonts w:ascii="Georgia" w:hAnsi="Georgia" w:cs="Arial"/>
          <w:color w:val="000000"/>
          <w:szCs w:val="22"/>
        </w:rPr>
        <w:t>A d</w:t>
      </w:r>
      <w:r w:rsidR="001E0B50" w:rsidRPr="002E7A99">
        <w:rPr>
          <w:rFonts w:ascii="Georgia" w:hAnsi="Georgia" w:cs="Arial"/>
          <w:color w:val="000000"/>
          <w:szCs w:val="22"/>
        </w:rPr>
        <w:t xml:space="preserve">eformação da Seguridade Social foi um dos núcleos da investida da área econômica, quando a nova Carta ainda estava nas gráficas do Congresso Nacional. Como mostram </w:t>
      </w:r>
      <w:r w:rsidR="001E0B50" w:rsidRPr="002E7A99">
        <w:rPr>
          <w:rFonts w:ascii="Georgia" w:hAnsi="Georgia" w:cs="Arial"/>
          <w:color w:val="365F91" w:themeColor="accent1" w:themeShade="BF"/>
          <w:szCs w:val="22"/>
        </w:rPr>
        <w:t xml:space="preserve">Azeredo (1989 e 1990) e Teixeira (1991), </w:t>
      </w:r>
      <w:r w:rsidR="001E0B50" w:rsidRPr="002E7A99">
        <w:rPr>
          <w:rFonts w:ascii="Georgia" w:hAnsi="Georgia" w:cs="Arial"/>
          <w:color w:val="000000"/>
          <w:szCs w:val="22"/>
        </w:rPr>
        <w:t>o Executivo não observou os prazos estabelecidos</w:t>
      </w:r>
      <w:r w:rsidR="00841635" w:rsidRPr="002E7A99">
        <w:rPr>
          <w:rFonts w:ascii="Georgia" w:hAnsi="Georgia" w:cs="Arial"/>
          <w:color w:val="000000"/>
          <w:szCs w:val="22"/>
        </w:rPr>
        <w:t xml:space="preserve">; </w:t>
      </w:r>
      <w:r w:rsidR="00DD3014" w:rsidRPr="002E7A99">
        <w:rPr>
          <w:rFonts w:ascii="Georgia" w:hAnsi="Georgia" w:cs="Arial"/>
          <w:color w:val="000000"/>
          <w:szCs w:val="22"/>
        </w:rPr>
        <w:t>n</w:t>
      </w:r>
      <w:r w:rsidR="001E0B50" w:rsidRPr="002E7A99">
        <w:rPr>
          <w:rFonts w:ascii="Georgia" w:hAnsi="Georgia" w:cs="Arial"/>
          <w:color w:val="000000"/>
          <w:szCs w:val="22"/>
        </w:rPr>
        <w:t>ão formulou o Projeto de Lei de Organização da Seguridade Social</w:t>
      </w:r>
      <w:r w:rsidR="00841635" w:rsidRPr="002E7A99">
        <w:rPr>
          <w:rFonts w:ascii="Georgia" w:hAnsi="Georgia" w:cs="Arial"/>
          <w:color w:val="000000"/>
          <w:szCs w:val="22"/>
        </w:rPr>
        <w:t xml:space="preserve">; e, </w:t>
      </w:r>
      <w:r w:rsidR="001E0B50" w:rsidRPr="002E7A99">
        <w:rPr>
          <w:rFonts w:ascii="Georgia" w:hAnsi="Georgia"/>
          <w:color w:val="000000"/>
          <w:szCs w:val="22"/>
        </w:rPr>
        <w:t>não formulou uma Proposta de Orçamento da Seguridade Social, tal como estabelecido na Constituição da República. Em adição, e igualmente de forma inconstitucional, a ação da área econômica caminhou exatamente na direção oposta:</w:t>
      </w:r>
      <w:r w:rsidR="00841635" w:rsidRPr="002E7A99">
        <w:rPr>
          <w:rFonts w:ascii="Georgia" w:hAnsi="Georgia"/>
          <w:color w:val="000000"/>
          <w:szCs w:val="22"/>
        </w:rPr>
        <w:t xml:space="preserve"> (a) f</w:t>
      </w:r>
      <w:r w:rsidR="001E0B50" w:rsidRPr="002E7A99">
        <w:rPr>
          <w:rFonts w:ascii="Georgia" w:hAnsi="Georgia"/>
          <w:color w:val="000000"/>
          <w:szCs w:val="22"/>
        </w:rPr>
        <w:t>oram adotadas medidas visando a capturar os recursos constitucionais vinculados ao Orçamento da Seguridade Social</w:t>
      </w:r>
      <w:r w:rsidR="00841635" w:rsidRPr="002E7A99">
        <w:rPr>
          <w:rFonts w:ascii="Georgia" w:hAnsi="Georgia"/>
          <w:color w:val="000000"/>
          <w:szCs w:val="22"/>
        </w:rPr>
        <w:t xml:space="preserve">: Contribuição Social sobre o Lucro Líquido das Empresas (CSLL); Contribuição Social Para o Financiamento da Seguridade Social (Cofins); e parte do PIS-Pasep, constitucionalmente vinculado para o financiamento do Programa Seguro Desemprego. A maior parte da </w:t>
      </w:r>
      <w:r w:rsidR="001E0B50" w:rsidRPr="002E7A99">
        <w:rPr>
          <w:rFonts w:ascii="Georgia" w:hAnsi="Georgia"/>
          <w:bCs/>
          <w:color w:val="000000"/>
          <w:szCs w:val="22"/>
        </w:rPr>
        <w:t xml:space="preserve">receita </w:t>
      </w:r>
      <w:r w:rsidR="00841635" w:rsidRPr="002E7A99">
        <w:rPr>
          <w:rFonts w:ascii="Georgia" w:hAnsi="Georgia"/>
          <w:bCs/>
          <w:color w:val="000000"/>
          <w:szCs w:val="22"/>
        </w:rPr>
        <w:t xml:space="preserve">da </w:t>
      </w:r>
      <w:r w:rsidR="001E0B50" w:rsidRPr="002E7A99">
        <w:rPr>
          <w:rFonts w:ascii="Georgia" w:hAnsi="Georgia"/>
          <w:bCs/>
          <w:color w:val="000000"/>
          <w:szCs w:val="22"/>
        </w:rPr>
        <w:t>C</w:t>
      </w:r>
      <w:r w:rsidR="00841635" w:rsidRPr="002E7A99">
        <w:rPr>
          <w:rFonts w:ascii="Georgia" w:hAnsi="Georgia"/>
          <w:bCs/>
          <w:color w:val="000000"/>
          <w:szCs w:val="22"/>
        </w:rPr>
        <w:t xml:space="preserve">ofins </w:t>
      </w:r>
      <w:r w:rsidR="001E0B50" w:rsidRPr="002E7A99">
        <w:rPr>
          <w:rFonts w:ascii="Georgia" w:hAnsi="Georgia"/>
          <w:bCs/>
          <w:color w:val="000000"/>
          <w:szCs w:val="22"/>
        </w:rPr>
        <w:t>em 1989 foi destinada ao pagamento dos inativos e pensionistas da União</w:t>
      </w:r>
      <w:r w:rsidR="007132AD" w:rsidRPr="002E7A99">
        <w:rPr>
          <w:rFonts w:ascii="Georgia" w:hAnsi="Georgia"/>
          <w:bCs/>
          <w:color w:val="000000"/>
          <w:szCs w:val="22"/>
        </w:rPr>
        <w:t xml:space="preserve"> (não previsto nos artigos 194 e 195 da CF-88).</w:t>
      </w:r>
    </w:p>
    <w:p w:rsidR="004330CF" w:rsidRPr="002E7A99" w:rsidRDefault="004330CF" w:rsidP="004C6CE8">
      <w:pPr>
        <w:shd w:val="clear" w:color="auto" w:fill="FFFFFF" w:themeFill="background1"/>
        <w:spacing w:before="240" w:after="120"/>
        <w:jc w:val="both"/>
        <w:rPr>
          <w:rFonts w:ascii="Georgia" w:hAnsi="Georgia"/>
          <w:szCs w:val="22"/>
        </w:rPr>
      </w:pPr>
      <w:r w:rsidRPr="002E7A99">
        <w:rPr>
          <w:rFonts w:ascii="Georgia" w:hAnsi="Georgia"/>
          <w:bCs/>
          <w:szCs w:val="22"/>
        </w:rPr>
        <w:t xml:space="preserve">É irônico que esse desvio de recursos foi admitido, pública e impunemente, pelo </w:t>
      </w:r>
      <w:r w:rsidRPr="002E7A99">
        <w:rPr>
          <w:rFonts w:ascii="Georgia" w:hAnsi="Georgia"/>
          <w:color w:val="000000"/>
          <w:szCs w:val="22"/>
        </w:rPr>
        <w:t xml:space="preserve">então </w:t>
      </w:r>
      <w:r w:rsidRPr="002E7A99">
        <w:rPr>
          <w:rFonts w:ascii="Georgia" w:hAnsi="Georgia"/>
          <w:szCs w:val="22"/>
        </w:rPr>
        <w:t xml:space="preserve">ministro da Previdência e Assistência Social, Jáder Barbalho, em entrevista concedida à revista </w:t>
      </w:r>
      <w:r w:rsidRPr="002E7A99">
        <w:rPr>
          <w:rFonts w:ascii="Georgia" w:hAnsi="Georgia"/>
          <w:i/>
          <w:iCs/>
          <w:szCs w:val="22"/>
        </w:rPr>
        <w:t>Veja</w:t>
      </w:r>
      <w:r w:rsidRPr="002E7A99">
        <w:rPr>
          <w:rFonts w:ascii="Georgia" w:hAnsi="Georgia"/>
          <w:szCs w:val="22"/>
        </w:rPr>
        <w:t xml:space="preserve">, em meados de 1989: </w:t>
      </w:r>
    </w:p>
    <w:p w:rsidR="004330CF" w:rsidRPr="007F4E2C" w:rsidRDefault="004330CF" w:rsidP="004C6CE8">
      <w:pPr>
        <w:shd w:val="clear" w:color="auto" w:fill="FFFFFF" w:themeFill="background1"/>
        <w:spacing w:before="240" w:after="120"/>
        <w:jc w:val="both"/>
        <w:rPr>
          <w:rFonts w:ascii="Georgia" w:hAnsi="Georgia"/>
          <w:i/>
          <w:sz w:val="20"/>
          <w:szCs w:val="22"/>
        </w:rPr>
      </w:pPr>
      <w:r w:rsidRPr="007F4E2C">
        <w:rPr>
          <w:rFonts w:ascii="Georgia" w:hAnsi="Georgia"/>
          <w:i/>
          <w:sz w:val="20"/>
          <w:szCs w:val="22"/>
        </w:rPr>
        <w:t xml:space="preserve">“O problema do déficit da previdência social está sendo gerado por fatores externos à previdência social. Do Cofins a que a Previdência teria direito, só foi repassado 0,32%. O que a Secretaria de Planejamento argumenta é que esse dinheiro foi repassado para outros setores do governo que compõem o conjunto da seguridade social – que abrange o ministério da Saúde e até mesmo os pensionistas da União. Além disso, outra fonte de renda, a Contribuição Social sobre os Lucros das empresas (CSLL), caiu com o Plano Verão, reduziu-se ao meio. De um total de três bilhões, a Previdência só recebeu 1,5 bilhão de cruzados novos. Depois, a Previdência tinha previsto em seu orçamento uma aplicação de saldo de caixa que daria, mensalmente, 2,5 bilhões. Mas como não há caixa, e sim déficit de caixa, não foi possível aplicar nada”. </w:t>
      </w:r>
      <w:r w:rsidRPr="007F4E2C">
        <w:rPr>
          <w:rStyle w:val="Refdenotaderodap"/>
          <w:rFonts w:ascii="Georgia" w:hAnsi="Georgia"/>
          <w:i/>
          <w:sz w:val="20"/>
          <w:szCs w:val="22"/>
        </w:rPr>
        <w:footnoteReference w:id="8"/>
      </w:r>
    </w:p>
    <w:p w:rsidR="004330CF" w:rsidRPr="002E7A99" w:rsidRDefault="004330CF" w:rsidP="004C6CE8">
      <w:pPr>
        <w:shd w:val="clear" w:color="auto" w:fill="FFFFFF" w:themeFill="background1"/>
        <w:spacing w:before="240" w:after="120"/>
        <w:jc w:val="both"/>
        <w:rPr>
          <w:rFonts w:ascii="Georgia" w:hAnsi="Georgia"/>
          <w:szCs w:val="22"/>
        </w:rPr>
      </w:pPr>
      <w:r w:rsidRPr="002E7A99">
        <w:rPr>
          <w:rFonts w:ascii="Georgia" w:hAnsi="Georgia"/>
          <w:szCs w:val="22"/>
        </w:rPr>
        <w:lastRenderedPageBreak/>
        <w:t xml:space="preserve">Perguntado pelo jornalista se seria “ético transferir dinheiro da Previdência para pagar pensionistas da União”, como fez o então ministro do Planejamento João Batista de Abreu, o ministro retrucou e voltou a admitir a inconstitucionalidade das ações do governo do qual fazia parte: </w:t>
      </w:r>
    </w:p>
    <w:p w:rsidR="004330CF" w:rsidRPr="007F4E2C" w:rsidRDefault="009D1E50" w:rsidP="004C6CE8">
      <w:pPr>
        <w:shd w:val="clear" w:color="auto" w:fill="FFFFFF" w:themeFill="background1"/>
        <w:spacing w:before="240" w:after="120"/>
        <w:jc w:val="both"/>
        <w:rPr>
          <w:rFonts w:ascii="Georgia" w:hAnsi="Georgia"/>
          <w:i/>
          <w:sz w:val="20"/>
          <w:szCs w:val="22"/>
        </w:rPr>
      </w:pPr>
      <w:r w:rsidRPr="007F4E2C">
        <w:rPr>
          <w:rFonts w:ascii="Georgia" w:hAnsi="Georgia"/>
          <w:i/>
          <w:sz w:val="20"/>
          <w:szCs w:val="22"/>
        </w:rPr>
        <w:t xml:space="preserve">“Não vou discutir ética. Não interessa o conflito meu com o João Batista. As conversas com ele têm sido amigáveis. O grande problema do ministro do Planejamento é que ele tem vários déficits para administrar. Na hora que eu pedir para ele mandar o Cofins para Previdência, ele pode chegar e perguntar: </w:t>
      </w:r>
      <w:r>
        <w:rPr>
          <w:rFonts w:ascii="Georgia" w:hAnsi="Georgia"/>
          <w:i/>
          <w:sz w:val="20"/>
          <w:szCs w:val="22"/>
        </w:rPr>
        <w:t>´</w:t>
      </w:r>
      <w:r w:rsidRPr="007F4E2C">
        <w:rPr>
          <w:rFonts w:ascii="Georgia" w:hAnsi="Georgia"/>
          <w:i/>
          <w:sz w:val="20"/>
          <w:szCs w:val="22"/>
        </w:rPr>
        <w:t>Como é que eu vou pagar os pensionistas da União? Isso porque o déficit da Previdência é resultado do déficit da União. Todo mundo deve ser pago</w:t>
      </w:r>
      <w:r w:rsidRPr="007F4E2C">
        <w:rPr>
          <w:rFonts w:ascii="Georgia" w:hAnsi="Georgia"/>
          <w:sz w:val="20"/>
          <w:szCs w:val="22"/>
        </w:rPr>
        <w:t xml:space="preserve"> com o dinheiro da seguridade social, mas a maior parte foi destinada ao pagamento dos pensionistas da União”.</w:t>
      </w:r>
      <w:r w:rsidR="004330CF" w:rsidRPr="007F4E2C">
        <w:rPr>
          <w:rFonts w:ascii="Georgia" w:hAnsi="Georgia"/>
          <w:sz w:val="20"/>
          <w:szCs w:val="22"/>
        </w:rPr>
        <w:t xml:space="preserve"> </w:t>
      </w:r>
      <w:r w:rsidR="004330CF" w:rsidRPr="007F4E2C">
        <w:rPr>
          <w:rStyle w:val="Refdenotaderodap"/>
          <w:rFonts w:ascii="Georgia" w:hAnsi="Georgia"/>
          <w:sz w:val="20"/>
          <w:szCs w:val="22"/>
        </w:rPr>
        <w:footnoteReference w:id="9"/>
      </w:r>
    </w:p>
    <w:p w:rsidR="004330CF" w:rsidRPr="002E7A99" w:rsidRDefault="004330CF" w:rsidP="004C6CE8">
      <w:pPr>
        <w:shd w:val="clear" w:color="auto" w:fill="FFFFFF" w:themeFill="background1"/>
        <w:spacing w:before="240" w:after="120"/>
        <w:jc w:val="both"/>
        <w:rPr>
          <w:rFonts w:ascii="Georgia" w:hAnsi="Georgia"/>
        </w:rPr>
      </w:pPr>
      <w:r w:rsidRPr="002E7A99">
        <w:rPr>
          <w:rFonts w:ascii="Georgia" w:hAnsi="Georgia"/>
        </w:rPr>
        <w:t xml:space="preserve">Esse exemplo emblemático de desvios e desfigurações do final dos anos de 1980 teve prosseguimento em todos os governos posteriores até os dias atuais. </w:t>
      </w:r>
    </w:p>
    <w:p w:rsidR="00E442FC" w:rsidRPr="00E442FC" w:rsidRDefault="00E442FC" w:rsidP="004C6CE8">
      <w:pPr>
        <w:snapToGrid w:val="0"/>
        <w:spacing w:before="240" w:after="120"/>
        <w:jc w:val="both"/>
        <w:rPr>
          <w:rFonts w:ascii="Georgia" w:hAnsi="Georgia"/>
          <w:b/>
          <w:spacing w:val="-5"/>
        </w:rPr>
      </w:pPr>
      <w:r w:rsidRPr="00E442FC">
        <w:rPr>
          <w:rFonts w:ascii="Georgia" w:hAnsi="Georgia"/>
          <w:b/>
          <w:i/>
          <w:spacing w:val="-5"/>
        </w:rPr>
        <w:t>A Contrarreforma truncada (</w:t>
      </w:r>
      <w:r w:rsidRPr="00E442FC">
        <w:rPr>
          <w:rFonts w:ascii="Georgia" w:hAnsi="Georgia"/>
          <w:b/>
          <w:spacing w:val="-5"/>
        </w:rPr>
        <w:t>1990-94)</w:t>
      </w:r>
    </w:p>
    <w:p w:rsidR="001E0B50" w:rsidRPr="002E7A99" w:rsidRDefault="001E0B50" w:rsidP="004C6CE8">
      <w:pPr>
        <w:pStyle w:val="Recuodecorpodetexto3"/>
        <w:shd w:val="clear" w:color="auto" w:fill="FFFFFF" w:themeFill="background1"/>
        <w:spacing w:before="240"/>
        <w:ind w:left="0"/>
        <w:jc w:val="both"/>
        <w:rPr>
          <w:rFonts w:ascii="Georgia" w:hAnsi="Georgia" w:cs="Arial"/>
          <w:sz w:val="24"/>
          <w:szCs w:val="24"/>
        </w:rPr>
      </w:pPr>
      <w:r w:rsidRPr="002E7A99">
        <w:rPr>
          <w:rFonts w:ascii="Georgia" w:hAnsi="Georgia" w:cs="Arial"/>
          <w:sz w:val="24"/>
          <w:szCs w:val="24"/>
        </w:rPr>
        <w:t>A partir de 1990 os ventos também mudaram por aqui. O Brasil fez sua opção tardia pelo neoliberalismo. Os conservadores, reorganizados pela eleição de Collor, abraçaram as teses do Consenso de Washington, antagônicas aos princípios da Constituição recém</w:t>
      </w:r>
      <w:r w:rsidR="007132AD" w:rsidRPr="002E7A99">
        <w:rPr>
          <w:rFonts w:ascii="Georgia" w:hAnsi="Georgia" w:cs="Arial"/>
          <w:sz w:val="24"/>
          <w:szCs w:val="24"/>
        </w:rPr>
        <w:t>-promulgada</w:t>
      </w:r>
      <w:r w:rsidRPr="002E7A99">
        <w:rPr>
          <w:rFonts w:ascii="Georgia" w:hAnsi="Georgia" w:cs="Arial"/>
          <w:sz w:val="24"/>
          <w:szCs w:val="24"/>
        </w:rPr>
        <w:t>.  E passaram a empregar todos os meios possíveis para retroceder os avanços sociais de 1988.</w:t>
      </w:r>
    </w:p>
    <w:p w:rsidR="001E0B50" w:rsidRPr="002E7A99" w:rsidRDefault="001E0B50" w:rsidP="004C6CE8">
      <w:pPr>
        <w:pStyle w:val="Recuodecorpodetexto3"/>
        <w:shd w:val="clear" w:color="auto" w:fill="FFFFFF" w:themeFill="background1"/>
        <w:spacing w:before="240"/>
        <w:ind w:left="0"/>
        <w:jc w:val="both"/>
        <w:rPr>
          <w:rFonts w:ascii="Georgia" w:hAnsi="Georgia"/>
          <w:color w:val="000000"/>
          <w:sz w:val="24"/>
          <w:szCs w:val="24"/>
        </w:rPr>
      </w:pPr>
      <w:r w:rsidRPr="002E7A99">
        <w:rPr>
          <w:rFonts w:ascii="Georgia" w:hAnsi="Georgia"/>
          <w:color w:val="000000"/>
          <w:sz w:val="24"/>
          <w:szCs w:val="24"/>
        </w:rPr>
        <w:t>Os constituintes de 1988 determinaram que a Constituição fosse revisada em 1993, integralmente, pela maioria absoluta dos votos do Congresso Nacional. Este seria o momento aguardado para, de uma vez por todas, enterrar a “anacrônica” C</w:t>
      </w:r>
      <w:r w:rsidR="007132AD" w:rsidRPr="002E7A99">
        <w:rPr>
          <w:rFonts w:ascii="Georgia" w:hAnsi="Georgia"/>
          <w:color w:val="000000"/>
          <w:sz w:val="24"/>
          <w:szCs w:val="24"/>
        </w:rPr>
        <w:t>arta Magna</w:t>
      </w:r>
      <w:r w:rsidRPr="002E7A99">
        <w:rPr>
          <w:rFonts w:ascii="Georgia" w:hAnsi="Georgia"/>
          <w:color w:val="000000"/>
          <w:sz w:val="24"/>
          <w:szCs w:val="24"/>
        </w:rPr>
        <w:t xml:space="preserve">.  Neste contexto, a estratégia do Governo </w:t>
      </w:r>
      <w:r w:rsidR="007132AD" w:rsidRPr="002E7A99">
        <w:rPr>
          <w:rFonts w:ascii="Georgia" w:hAnsi="Georgia"/>
          <w:color w:val="000000"/>
          <w:sz w:val="24"/>
          <w:szCs w:val="24"/>
        </w:rPr>
        <w:t xml:space="preserve">Fernando Collor de Mello (1990-1992) </w:t>
      </w:r>
      <w:r w:rsidRPr="002E7A99">
        <w:rPr>
          <w:rFonts w:ascii="Georgia" w:hAnsi="Georgia"/>
          <w:color w:val="000000"/>
          <w:sz w:val="24"/>
          <w:szCs w:val="24"/>
        </w:rPr>
        <w:t xml:space="preserve">era a formulação de nova agenda de reformas, na expectativa dessa revisão constitucional prevista para 1993. Entretanto, as turbulências decorrentes do </w:t>
      </w:r>
      <w:r w:rsidRPr="002E7A99">
        <w:rPr>
          <w:rFonts w:ascii="Georgia" w:hAnsi="Georgia"/>
          <w:i/>
          <w:iCs/>
          <w:color w:val="000000"/>
          <w:sz w:val="24"/>
          <w:szCs w:val="24"/>
        </w:rPr>
        <w:t xml:space="preserve">impeachment </w:t>
      </w:r>
      <w:r w:rsidRPr="002E7A99">
        <w:rPr>
          <w:rFonts w:ascii="Georgia" w:hAnsi="Georgia"/>
          <w:color w:val="000000"/>
          <w:sz w:val="24"/>
          <w:szCs w:val="24"/>
        </w:rPr>
        <w:t xml:space="preserve">do presidente Collor ao longo de 1992 e as indefinições e instabilidades presentes em 1993 acabaram inviabilizando a revisão constitucional. Assim, o funeral da Carta de 1988 teve de ser adiado. </w:t>
      </w:r>
    </w:p>
    <w:p w:rsidR="002E7A99" w:rsidRDefault="001E0B50" w:rsidP="004C6CE8">
      <w:pPr>
        <w:pStyle w:val="Recuodecorpodetexto3"/>
        <w:shd w:val="clear" w:color="auto" w:fill="FFFFFF" w:themeFill="background1"/>
        <w:spacing w:before="240"/>
        <w:ind w:left="0"/>
        <w:jc w:val="both"/>
        <w:rPr>
          <w:rFonts w:ascii="Georgia" w:hAnsi="Georgia"/>
          <w:color w:val="000000"/>
          <w:sz w:val="24"/>
          <w:szCs w:val="24"/>
        </w:rPr>
      </w:pPr>
      <w:r w:rsidRPr="002E7A99">
        <w:rPr>
          <w:rFonts w:ascii="Georgia" w:hAnsi="Georgia"/>
          <w:color w:val="000000"/>
          <w:sz w:val="24"/>
          <w:szCs w:val="24"/>
        </w:rPr>
        <w:t xml:space="preserve">Enquanto aguardava a revisão constitucional – que acabou não ocorrendo – o Governo Collor </w:t>
      </w:r>
      <w:r w:rsidRPr="002E7A99">
        <w:rPr>
          <w:rFonts w:ascii="Georgia" w:hAnsi="Georgia"/>
          <w:sz w:val="24"/>
          <w:szCs w:val="24"/>
        </w:rPr>
        <w:t xml:space="preserve">deflagrou uma estratégia que visava a obstruir ou desfigurar a legislação constitucional complementar. </w:t>
      </w:r>
      <w:r w:rsidRPr="002E7A99">
        <w:rPr>
          <w:rFonts w:ascii="Georgia" w:hAnsi="Georgia"/>
          <w:color w:val="000000"/>
          <w:sz w:val="24"/>
          <w:szCs w:val="24"/>
        </w:rPr>
        <w:t>O Plano de Organização e Custeio da Seguridade Social só foi regulamentado em julho de 1991.</w:t>
      </w:r>
      <w:r w:rsidRPr="002E7A99">
        <w:rPr>
          <w:rStyle w:val="Refdenotaderodap"/>
          <w:rFonts w:ascii="Georgia" w:hAnsi="Georgia"/>
          <w:sz w:val="24"/>
          <w:szCs w:val="24"/>
        </w:rPr>
        <w:footnoteReference w:id="10"/>
      </w:r>
      <w:r w:rsidRPr="002E7A99">
        <w:rPr>
          <w:rFonts w:ascii="Georgia" w:hAnsi="Georgia"/>
          <w:color w:val="000000"/>
          <w:sz w:val="24"/>
          <w:szCs w:val="24"/>
        </w:rPr>
        <w:t xml:space="preserve"> A Lei sancionada tornou constitucional algumas das transgressões adotadas no final do Governo José Sarney. </w:t>
      </w:r>
    </w:p>
    <w:p w:rsidR="00E442FC" w:rsidRDefault="001E0B50" w:rsidP="004C6CE8">
      <w:pPr>
        <w:pStyle w:val="Recuodecorpodetexto3"/>
        <w:shd w:val="clear" w:color="auto" w:fill="FFFFFF" w:themeFill="background1"/>
        <w:spacing w:before="240"/>
        <w:ind w:left="0"/>
        <w:jc w:val="both"/>
        <w:rPr>
          <w:rFonts w:ascii="Georgia" w:hAnsi="Georgia"/>
          <w:color w:val="000000"/>
          <w:sz w:val="24"/>
          <w:szCs w:val="24"/>
        </w:rPr>
      </w:pPr>
      <w:r w:rsidRPr="002E7A99">
        <w:rPr>
          <w:rFonts w:ascii="Georgia" w:hAnsi="Georgia"/>
          <w:color w:val="000000"/>
          <w:sz w:val="24"/>
          <w:szCs w:val="24"/>
        </w:rPr>
        <w:t xml:space="preserve">A reforma administrativa empreendida por Collor também desconsiderou a Seguridade Social. </w:t>
      </w:r>
      <w:r w:rsidRPr="002E7A99">
        <w:rPr>
          <w:rFonts w:ascii="Georgia" w:hAnsi="Georgia"/>
          <w:color w:val="365F91" w:themeColor="accent1" w:themeShade="BF"/>
          <w:sz w:val="24"/>
          <w:szCs w:val="24"/>
        </w:rPr>
        <w:t xml:space="preserve">Teixeira (1991:31) </w:t>
      </w:r>
      <w:r w:rsidRPr="002E7A99">
        <w:rPr>
          <w:rFonts w:ascii="Georgia" w:hAnsi="Georgia"/>
          <w:color w:val="000000"/>
          <w:sz w:val="24"/>
          <w:szCs w:val="24"/>
        </w:rPr>
        <w:t>sublinha que o governo federal, “ao invés de constituir o Ministério da Seguridade Social”, optou “pelo caminho da fragmentação, abandonando o conceito de seguridade e empreendendo uma volta atrás na própria concepção do sistema de proteção, reforçando a velha ideia de seguro</w:t>
      </w:r>
      <w:r w:rsidR="002E7A99">
        <w:rPr>
          <w:rFonts w:ascii="Georgia" w:hAnsi="Georgia"/>
          <w:color w:val="000000"/>
          <w:sz w:val="24"/>
          <w:szCs w:val="24"/>
        </w:rPr>
        <w:t>”</w:t>
      </w:r>
      <w:r w:rsidRPr="002E7A99">
        <w:rPr>
          <w:rFonts w:ascii="Georgia" w:hAnsi="Georgia"/>
          <w:color w:val="000000"/>
          <w:sz w:val="24"/>
          <w:szCs w:val="24"/>
        </w:rPr>
        <w:t xml:space="preserve">. Reunindo os antigos INPS e IAPAS em um único instituto que não por acaso chamou de Instituto Nacional do Seguro Social (INSS) e, ademais, </w:t>
      </w:r>
      <w:r w:rsidRPr="002E7A99">
        <w:rPr>
          <w:rFonts w:ascii="Georgia" w:hAnsi="Georgia"/>
          <w:color w:val="000000"/>
          <w:sz w:val="24"/>
          <w:szCs w:val="24"/>
        </w:rPr>
        <w:lastRenderedPageBreak/>
        <w:t>colocando toda a estrutura previdenciária sob a jurisdição do velho Ministério do Trabalho e da Previdência Social</w:t>
      </w:r>
      <w:r w:rsidR="00890F09">
        <w:rPr>
          <w:rFonts w:ascii="Georgia" w:hAnsi="Georgia"/>
          <w:color w:val="000000"/>
          <w:sz w:val="24"/>
          <w:szCs w:val="24"/>
        </w:rPr>
        <w:t>.</w:t>
      </w:r>
      <w:r w:rsidRPr="002E7A99">
        <w:rPr>
          <w:rFonts w:ascii="Georgia" w:hAnsi="Georgia"/>
          <w:color w:val="000000"/>
          <w:sz w:val="24"/>
          <w:szCs w:val="24"/>
        </w:rPr>
        <w:t xml:space="preserve"> </w:t>
      </w:r>
    </w:p>
    <w:p w:rsidR="00E442FC" w:rsidRPr="00E442FC" w:rsidRDefault="00E442FC" w:rsidP="004C6CE8">
      <w:pPr>
        <w:pStyle w:val="Recuodecorpodetexto3"/>
        <w:shd w:val="clear" w:color="auto" w:fill="FFFFFF" w:themeFill="background1"/>
        <w:spacing w:before="240"/>
        <w:ind w:left="0"/>
        <w:jc w:val="both"/>
        <w:rPr>
          <w:rFonts w:ascii="Georgia" w:hAnsi="Georgia"/>
          <w:b/>
          <w:spacing w:val="-5"/>
          <w:sz w:val="24"/>
        </w:rPr>
      </w:pPr>
      <w:r w:rsidRPr="00E442FC">
        <w:rPr>
          <w:rFonts w:ascii="Georgia" w:hAnsi="Georgia"/>
          <w:b/>
          <w:spacing w:val="-5"/>
          <w:sz w:val="24"/>
        </w:rPr>
        <w:t>A retomada da contrarreforma liberalizante (1993-2002)</w:t>
      </w:r>
    </w:p>
    <w:p w:rsidR="001E0B50" w:rsidRPr="002E7A99" w:rsidRDefault="001E0B50" w:rsidP="004C6CE8">
      <w:pPr>
        <w:pStyle w:val="Commarcadores"/>
        <w:numPr>
          <w:ilvl w:val="0"/>
          <w:numId w:val="0"/>
        </w:numPr>
        <w:shd w:val="clear" w:color="auto" w:fill="FFFFFF" w:themeFill="background1"/>
        <w:spacing w:before="240" w:after="120"/>
        <w:contextualSpacing w:val="0"/>
        <w:jc w:val="both"/>
        <w:rPr>
          <w:rFonts w:ascii="Georgia" w:hAnsi="Georgia"/>
        </w:rPr>
      </w:pPr>
      <w:r w:rsidRPr="002E7A99">
        <w:rPr>
          <w:rFonts w:ascii="Georgia" w:hAnsi="Georgia"/>
        </w:rPr>
        <w:t>O calvário da Seguridade Social e do Orçamento da Seguridade Social continuou no período 1993/2002. Em 1994, o Executivo federal implantou a atual Desvinculação das Receitas da União (DRU), que captura 20% dos recursos constitucionais vinculados ao Orçamento da Seguridade Social</w:t>
      </w:r>
      <w:r w:rsidR="007132AD" w:rsidRPr="002E7A99">
        <w:rPr>
          <w:rFonts w:ascii="Georgia" w:hAnsi="Georgia"/>
        </w:rPr>
        <w:t xml:space="preserve"> e </w:t>
      </w:r>
      <w:r w:rsidR="002E7A99" w:rsidRPr="002E7A99">
        <w:rPr>
          <w:rFonts w:ascii="Georgia" w:hAnsi="Georgia"/>
        </w:rPr>
        <w:t xml:space="preserve">outras ações </w:t>
      </w:r>
      <w:r w:rsidRPr="002E7A99">
        <w:rPr>
          <w:rFonts w:ascii="Georgia" w:hAnsi="Georgia"/>
        </w:rPr>
        <w:t>sociais federais</w:t>
      </w:r>
      <w:r w:rsidR="00697568" w:rsidRPr="002E7A99">
        <w:rPr>
          <w:rFonts w:ascii="Georgia" w:hAnsi="Georgia"/>
        </w:rPr>
        <w:t>.</w:t>
      </w:r>
      <w:r w:rsidRPr="002E7A99">
        <w:rPr>
          <w:rFonts w:ascii="Georgia" w:hAnsi="Georgia"/>
        </w:rPr>
        <w:t xml:space="preserve"> </w:t>
      </w:r>
    </w:p>
    <w:p w:rsidR="001E0B50" w:rsidRPr="002E7A99" w:rsidRDefault="00697568" w:rsidP="004C6CE8">
      <w:pPr>
        <w:pStyle w:val="Commarcadores"/>
        <w:numPr>
          <w:ilvl w:val="0"/>
          <w:numId w:val="0"/>
        </w:numPr>
        <w:shd w:val="clear" w:color="auto" w:fill="FFFFFF" w:themeFill="background1"/>
        <w:spacing w:before="240" w:after="120"/>
        <w:contextualSpacing w:val="0"/>
        <w:jc w:val="both"/>
        <w:rPr>
          <w:rFonts w:ascii="Georgia" w:hAnsi="Georgia"/>
          <w:color w:val="000000"/>
        </w:rPr>
      </w:pPr>
      <w:r w:rsidRPr="002E7A99">
        <w:rPr>
          <w:rFonts w:ascii="Georgia" w:hAnsi="Georgia"/>
        </w:rPr>
        <w:t xml:space="preserve">Em 1998, </w:t>
      </w:r>
      <w:r w:rsidR="001E0B50" w:rsidRPr="002E7A99">
        <w:rPr>
          <w:rFonts w:ascii="Georgia" w:hAnsi="Georgia"/>
        </w:rPr>
        <w:t>o campo conservador teve êxito na realização da Reforma da Previdência</w:t>
      </w:r>
      <w:r w:rsidRPr="002E7A99">
        <w:rPr>
          <w:rFonts w:ascii="Georgia" w:hAnsi="Georgia"/>
        </w:rPr>
        <w:t xml:space="preserve"> (</w:t>
      </w:r>
      <w:r w:rsidR="001E0B50" w:rsidRPr="002E7A99">
        <w:rPr>
          <w:rFonts w:ascii="Georgia" w:hAnsi="Georgia"/>
        </w:rPr>
        <w:t>Emenda Constitucional n. 20</w:t>
      </w:r>
      <w:r w:rsidRPr="002E7A99">
        <w:rPr>
          <w:rFonts w:ascii="Georgia" w:hAnsi="Georgia"/>
        </w:rPr>
        <w:t xml:space="preserve">) que </w:t>
      </w:r>
      <w:r w:rsidR="001E0B50" w:rsidRPr="002E7A99">
        <w:rPr>
          <w:rFonts w:ascii="Georgia" w:hAnsi="Georgia"/>
        </w:rPr>
        <w:t xml:space="preserve">desmontou </w:t>
      </w:r>
      <w:r w:rsidR="002E7A99" w:rsidRPr="002E7A99">
        <w:rPr>
          <w:rFonts w:ascii="Georgia" w:hAnsi="Georgia"/>
        </w:rPr>
        <w:t>diversas c</w:t>
      </w:r>
      <w:r w:rsidR="001E0B50" w:rsidRPr="002E7A99">
        <w:rPr>
          <w:rFonts w:ascii="Georgia" w:hAnsi="Georgia"/>
        </w:rPr>
        <w:t xml:space="preserve">onquistas de 1988 e instituiu regras mais severas que as praticadas nos países desenvolvidos da OCDE. </w:t>
      </w:r>
      <w:r w:rsidR="001E0B50" w:rsidRPr="002E7A99">
        <w:rPr>
          <w:rFonts w:ascii="Georgia" w:hAnsi="Georgia"/>
          <w:color w:val="000000"/>
        </w:rPr>
        <w:t xml:space="preserve">No caso da “aposentadoria por idade”, conseguiu-se transpor </w:t>
      </w:r>
      <w:r w:rsidR="001E0B50" w:rsidRPr="002E7A99">
        <w:rPr>
          <w:rFonts w:ascii="Georgia" w:hAnsi="Georgia"/>
          <w:i/>
          <w:iCs/>
          <w:color w:val="000000"/>
        </w:rPr>
        <w:t>padrões semelhantes ou superiores aos existentes em países desenvolvidos</w:t>
      </w:r>
      <w:r w:rsidR="001E0B50" w:rsidRPr="002E7A99">
        <w:rPr>
          <w:rFonts w:ascii="Georgia" w:hAnsi="Georgia"/>
          <w:color w:val="000000"/>
        </w:rPr>
        <w:t xml:space="preserve">. A idade mínima de </w:t>
      </w:r>
      <w:r w:rsidR="001E0B50" w:rsidRPr="002E7A99">
        <w:rPr>
          <w:rFonts w:ascii="Georgia" w:hAnsi="Georgia"/>
          <w:i/>
          <w:iCs/>
          <w:color w:val="000000"/>
        </w:rPr>
        <w:t xml:space="preserve">65 anos não era adotada </w:t>
      </w:r>
      <w:r w:rsidR="001E0B50" w:rsidRPr="002E7A99">
        <w:rPr>
          <w:rFonts w:ascii="Georgia" w:hAnsi="Georgia"/>
          <w:color w:val="000000"/>
        </w:rPr>
        <w:t xml:space="preserve">sequer em países como a Bélgica, Alemanha, Canadá, Espanha, França e Portugal (60 anos) e os EUA (62 anos), por exemplo; e equivale ao parâmetro seguido na Suécia, Alemanha, Finlândia e Áustria (65 anos), por exemplo. A própria Organização Mundial de Saúde (OMS) faz uma distinção, ao definir a população idosa, entre países desenvolvidos (acima de 65 anos) e países em desenvolvimento (acima de 60 anos) (FIBGE, 2002:9). </w:t>
      </w:r>
    </w:p>
    <w:p w:rsidR="00890F09" w:rsidRDefault="001E0B50" w:rsidP="004C6CE8">
      <w:pPr>
        <w:pStyle w:val="Recuodecorpodetexto"/>
        <w:shd w:val="clear" w:color="auto" w:fill="FFFFFF" w:themeFill="background1"/>
        <w:tabs>
          <w:tab w:val="left" w:pos="360"/>
        </w:tabs>
        <w:spacing w:before="240"/>
        <w:ind w:left="0"/>
        <w:jc w:val="both"/>
        <w:rPr>
          <w:rFonts w:ascii="Georgia" w:hAnsi="Georgia"/>
        </w:rPr>
      </w:pPr>
      <w:r w:rsidRPr="002E7A99">
        <w:rPr>
          <w:rFonts w:ascii="Georgia" w:hAnsi="Georgia"/>
        </w:rPr>
        <w:t>No caso da “aposentadoria por tempo de contribuição”, passou-se a exigir a comprovação de 35 anos para os homens e de 30 anos para as mulheres. Esse patamar é superior ao estabelecido, por exemplo, na Suécia (30 anos) e a Finlândia (</w:t>
      </w:r>
      <w:smartTag w:uri="urn:schemas-microsoft-com:office:smarttags" w:element="metricconverter">
        <w:smartTagPr>
          <w:attr w:name="ProductID" w:val="30 a"/>
        </w:smartTagPr>
        <w:r w:rsidRPr="002E7A99">
          <w:rPr>
            <w:rFonts w:ascii="Georgia" w:hAnsi="Georgia"/>
          </w:rPr>
          <w:t>30 a</w:t>
        </w:r>
      </w:smartTag>
      <w:r w:rsidRPr="002E7A99">
        <w:rPr>
          <w:rFonts w:ascii="Georgia" w:hAnsi="Georgia"/>
        </w:rPr>
        <w:t xml:space="preserve"> 39); e se aproxima do nível vigente em outros: EUA (35 anos), Portugal (36), Alemanha (</w:t>
      </w:r>
      <w:smartTag w:uri="urn:schemas-microsoft-com:office:smarttags" w:element="metricconverter">
        <w:smartTagPr>
          <w:attr w:name="ProductID" w:val="35 a"/>
        </w:smartTagPr>
        <w:r w:rsidRPr="002E7A99">
          <w:rPr>
            <w:rFonts w:ascii="Georgia" w:hAnsi="Georgia"/>
          </w:rPr>
          <w:t>35 a</w:t>
        </w:r>
      </w:smartTag>
      <w:r w:rsidRPr="002E7A99">
        <w:rPr>
          <w:rFonts w:ascii="Georgia" w:hAnsi="Georgia"/>
        </w:rPr>
        <w:t xml:space="preserve"> 40) e França (37,5), dentre vários. Nesse caso, até que os contribuintes atinjam 65/60 anos, passou a incidir o chamado “fator previdenciário” (criado em 1999) que suprime parcela do valor do benefício e posterga o início da aposentadoria. </w:t>
      </w:r>
    </w:p>
    <w:p w:rsidR="00E442FC" w:rsidRPr="00E442FC" w:rsidRDefault="00E442FC" w:rsidP="004C6CE8">
      <w:pPr>
        <w:pStyle w:val="Recuodecorpodetexto"/>
        <w:shd w:val="clear" w:color="auto" w:fill="FFFFFF" w:themeFill="background1"/>
        <w:tabs>
          <w:tab w:val="left" w:pos="360"/>
        </w:tabs>
        <w:spacing w:before="240"/>
        <w:ind w:left="0"/>
        <w:jc w:val="both"/>
        <w:rPr>
          <w:rFonts w:ascii="Georgia" w:hAnsi="Georgia"/>
          <w:b/>
          <w:spacing w:val="-5"/>
        </w:rPr>
      </w:pPr>
      <w:r w:rsidRPr="00E442FC">
        <w:rPr>
          <w:rFonts w:ascii="Georgia" w:hAnsi="Georgia"/>
          <w:b/>
          <w:spacing w:val="-5"/>
        </w:rPr>
        <w:t>O continuísmo econômico e social (2003-06)</w:t>
      </w:r>
    </w:p>
    <w:p w:rsidR="00F36FA7" w:rsidRPr="002E7A99" w:rsidRDefault="001E0B50" w:rsidP="004C6CE8">
      <w:pPr>
        <w:pStyle w:val="Commarcadores"/>
        <w:numPr>
          <w:ilvl w:val="0"/>
          <w:numId w:val="0"/>
        </w:numPr>
        <w:shd w:val="clear" w:color="auto" w:fill="FFFFFF" w:themeFill="background1"/>
        <w:spacing w:before="240" w:after="120"/>
        <w:contextualSpacing w:val="0"/>
        <w:jc w:val="both"/>
        <w:rPr>
          <w:rFonts w:ascii="Georgia" w:hAnsi="Georgia"/>
        </w:rPr>
      </w:pPr>
      <w:r w:rsidRPr="002E7A99">
        <w:rPr>
          <w:rFonts w:ascii="Georgia" w:hAnsi="Georgia"/>
        </w:rPr>
        <w:t>Entre 2003 e 20</w:t>
      </w:r>
      <w:r w:rsidR="002E7A99" w:rsidRPr="002E7A99">
        <w:rPr>
          <w:rFonts w:ascii="Georgia" w:hAnsi="Georgia"/>
        </w:rPr>
        <w:t>0</w:t>
      </w:r>
      <w:r w:rsidR="00BF6E57" w:rsidRPr="002E7A99">
        <w:rPr>
          <w:rFonts w:ascii="Georgia" w:hAnsi="Georgia"/>
        </w:rPr>
        <w:t>6</w:t>
      </w:r>
      <w:r w:rsidRPr="002E7A99">
        <w:rPr>
          <w:rFonts w:ascii="Georgia" w:hAnsi="Georgia"/>
        </w:rPr>
        <w:t xml:space="preserve"> não foi diferente. Em meados de 2005, o Ministério da Fazenda reprisou os mesmos mantras apocalípticos para justificar o programa visando ao “déficit nominal zero”</w:t>
      </w:r>
      <w:r w:rsidR="00BF6E57" w:rsidRPr="002E7A99">
        <w:rPr>
          <w:rFonts w:ascii="Georgia" w:hAnsi="Georgia"/>
        </w:rPr>
        <w:t xml:space="preserve"> (superávit nominal de 7% ao ano, até 2015)</w:t>
      </w:r>
      <w:r w:rsidRPr="002E7A99">
        <w:rPr>
          <w:rFonts w:ascii="Georgia" w:hAnsi="Georgia"/>
        </w:rPr>
        <w:t xml:space="preserve">. Ocultaram, aos incautos, que o ajuste repousava sobre o que restou da </w:t>
      </w:r>
      <w:r w:rsidR="00BF6E57" w:rsidRPr="002E7A99">
        <w:rPr>
          <w:rFonts w:ascii="Georgia" w:hAnsi="Georgia"/>
        </w:rPr>
        <w:t>S</w:t>
      </w:r>
      <w:r w:rsidRPr="002E7A99">
        <w:rPr>
          <w:rFonts w:ascii="Georgia" w:hAnsi="Georgia"/>
        </w:rPr>
        <w:t>eguridade</w:t>
      </w:r>
      <w:r w:rsidR="00BF6E57" w:rsidRPr="002E7A99">
        <w:rPr>
          <w:rFonts w:ascii="Georgia" w:hAnsi="Georgia"/>
        </w:rPr>
        <w:t xml:space="preserve"> Social</w:t>
      </w:r>
      <w:r w:rsidR="00291E7D">
        <w:rPr>
          <w:rFonts w:ascii="Georgia" w:hAnsi="Georgia"/>
        </w:rPr>
        <w:t xml:space="preserve"> </w:t>
      </w:r>
      <w:r w:rsidR="00291E7D" w:rsidRPr="00291E7D">
        <w:rPr>
          <w:rFonts w:ascii="Georgia" w:hAnsi="Georgia"/>
          <w:color w:val="1F497D" w:themeColor="text2"/>
        </w:rPr>
        <w:t>(FAGNANI, 2005</w:t>
      </w:r>
      <w:r w:rsidR="00291E7D">
        <w:rPr>
          <w:rFonts w:ascii="Georgia" w:hAnsi="Georgia"/>
          <w:color w:val="1F497D" w:themeColor="text2"/>
        </w:rPr>
        <w:t xml:space="preserve"> - B</w:t>
      </w:r>
      <w:r w:rsidR="00291E7D" w:rsidRPr="00291E7D">
        <w:rPr>
          <w:rFonts w:ascii="Georgia" w:hAnsi="Georgia"/>
          <w:color w:val="1F497D" w:themeColor="text2"/>
        </w:rPr>
        <w:t>)</w:t>
      </w:r>
      <w:r w:rsidRPr="00291E7D">
        <w:rPr>
          <w:rFonts w:ascii="Georgia" w:hAnsi="Georgia"/>
          <w:color w:val="1F497D" w:themeColor="text2"/>
        </w:rPr>
        <w:t xml:space="preserve">. </w:t>
      </w:r>
      <w:r w:rsidRPr="002E7A99">
        <w:rPr>
          <w:rFonts w:ascii="Georgia" w:hAnsi="Georgia"/>
        </w:rPr>
        <w:t xml:space="preserve">Uma única exceção, o economista Raul Veloso, foi direto ao ponto: </w:t>
      </w:r>
    </w:p>
    <w:p w:rsidR="00F36FA7" w:rsidRPr="00F53AEC" w:rsidRDefault="001E0B50" w:rsidP="004C6CE8">
      <w:pPr>
        <w:pStyle w:val="Commarcadores"/>
        <w:numPr>
          <w:ilvl w:val="0"/>
          <w:numId w:val="0"/>
        </w:numPr>
        <w:shd w:val="clear" w:color="auto" w:fill="FFFFFF" w:themeFill="background1"/>
        <w:spacing w:before="240" w:after="120"/>
        <w:contextualSpacing w:val="0"/>
        <w:jc w:val="both"/>
        <w:rPr>
          <w:rFonts w:ascii="Georgia" w:hAnsi="Georgia"/>
          <w:i/>
          <w:sz w:val="22"/>
        </w:rPr>
      </w:pPr>
      <w:r w:rsidRPr="00F53AEC">
        <w:rPr>
          <w:rFonts w:ascii="Georgia" w:hAnsi="Georgia"/>
          <w:i/>
          <w:sz w:val="22"/>
        </w:rPr>
        <w:t>“O superávit primário acabou.</w:t>
      </w:r>
      <w:r w:rsidR="00F53AEC">
        <w:rPr>
          <w:rFonts w:ascii="Georgia" w:hAnsi="Georgia"/>
          <w:i/>
          <w:sz w:val="22"/>
        </w:rPr>
        <w:t xml:space="preserve"> </w:t>
      </w:r>
      <w:r w:rsidRPr="00F53AEC">
        <w:rPr>
          <w:rFonts w:ascii="Georgia" w:hAnsi="Georgia"/>
          <w:i/>
          <w:sz w:val="22"/>
        </w:rPr>
        <w:t>A única saída seria cortar despesas constitucionalmente obrigatórias</w:t>
      </w:r>
      <w:r w:rsidR="009D1E50">
        <w:rPr>
          <w:rFonts w:ascii="Georgia" w:hAnsi="Georgia"/>
          <w:i/>
          <w:sz w:val="22"/>
        </w:rPr>
        <w:t xml:space="preserve"> </w:t>
      </w:r>
      <w:r w:rsidRPr="00F53AEC">
        <w:rPr>
          <w:rFonts w:ascii="Georgia" w:hAnsi="Georgia"/>
          <w:i/>
          <w:sz w:val="22"/>
        </w:rPr>
        <w:t xml:space="preserve">– em bom português previdência, saúde, educação e assistência social.” </w:t>
      </w:r>
      <w:r w:rsidR="00BF6E57" w:rsidRPr="00F53AEC">
        <w:rPr>
          <w:rStyle w:val="Refdenotaderodap"/>
          <w:rFonts w:ascii="Georgia" w:hAnsi="Georgia"/>
          <w:i/>
          <w:sz w:val="22"/>
        </w:rPr>
        <w:footnoteReference w:id="11"/>
      </w:r>
      <w:r w:rsidR="00BF6E57" w:rsidRPr="00F53AEC">
        <w:rPr>
          <w:rFonts w:ascii="Georgia" w:hAnsi="Georgia"/>
          <w:i/>
          <w:sz w:val="22"/>
        </w:rPr>
        <w:t xml:space="preserve"> </w:t>
      </w:r>
    </w:p>
    <w:p w:rsidR="001E0B50" w:rsidRPr="002E7A99" w:rsidRDefault="001E0B50" w:rsidP="004C6CE8">
      <w:pPr>
        <w:pStyle w:val="Commarcadores"/>
        <w:numPr>
          <w:ilvl w:val="0"/>
          <w:numId w:val="0"/>
        </w:numPr>
        <w:shd w:val="clear" w:color="auto" w:fill="FFFFFF" w:themeFill="background1"/>
        <w:spacing w:before="240" w:after="120"/>
        <w:contextualSpacing w:val="0"/>
        <w:jc w:val="both"/>
        <w:rPr>
          <w:rFonts w:ascii="Georgia" w:hAnsi="Georgia"/>
        </w:rPr>
      </w:pPr>
      <w:r w:rsidRPr="002E7A99">
        <w:rPr>
          <w:rFonts w:ascii="Georgia" w:hAnsi="Georgia"/>
        </w:rPr>
        <w:t>Para completar, prop</w:t>
      </w:r>
      <w:r w:rsidR="00BF6E57" w:rsidRPr="002E7A99">
        <w:rPr>
          <w:rFonts w:ascii="Georgia" w:hAnsi="Georgia"/>
        </w:rPr>
        <w:t xml:space="preserve">useram a </w:t>
      </w:r>
      <w:r w:rsidRPr="002E7A99">
        <w:rPr>
          <w:rFonts w:ascii="Georgia" w:hAnsi="Georgia"/>
        </w:rPr>
        <w:t>ampliação da DRU d</w:t>
      </w:r>
      <w:r w:rsidR="00BF6E57" w:rsidRPr="002E7A99">
        <w:rPr>
          <w:rFonts w:ascii="Georgia" w:hAnsi="Georgia"/>
        </w:rPr>
        <w:t xml:space="preserve">e </w:t>
      </w:r>
      <w:r w:rsidRPr="002E7A99">
        <w:rPr>
          <w:rFonts w:ascii="Georgia" w:hAnsi="Georgia"/>
        </w:rPr>
        <w:t xml:space="preserve">20% para 40%. A tese do </w:t>
      </w:r>
      <w:r w:rsidR="00F36FA7" w:rsidRPr="002E7A99">
        <w:rPr>
          <w:rFonts w:ascii="Georgia" w:hAnsi="Georgia"/>
        </w:rPr>
        <w:t>“</w:t>
      </w:r>
      <w:r w:rsidRPr="002E7A99">
        <w:rPr>
          <w:rFonts w:ascii="Georgia" w:hAnsi="Georgia"/>
        </w:rPr>
        <w:t>país ingovernável</w:t>
      </w:r>
      <w:r w:rsidR="00F36FA7" w:rsidRPr="002E7A99">
        <w:rPr>
          <w:rFonts w:ascii="Georgia" w:hAnsi="Georgia"/>
        </w:rPr>
        <w:t>”</w:t>
      </w:r>
      <w:r w:rsidRPr="002E7A99">
        <w:rPr>
          <w:rFonts w:ascii="Georgia" w:hAnsi="Georgia"/>
        </w:rPr>
        <w:t xml:space="preserve"> e do apocalipse fiscal foi reeditada pela ortodoxia econômica que recomendou que todos os todos os esforços fossem </w:t>
      </w:r>
      <w:r w:rsidRPr="002E7A99">
        <w:rPr>
          <w:rFonts w:ascii="Georgia" w:hAnsi="Georgia"/>
          <w:i/>
        </w:rPr>
        <w:t xml:space="preserve">concentrados “na mãe </w:t>
      </w:r>
      <w:r w:rsidRPr="002E7A99">
        <w:rPr>
          <w:rFonts w:ascii="Georgia" w:hAnsi="Georgia"/>
          <w:i/>
        </w:rPr>
        <w:lastRenderedPageBreak/>
        <w:t>de todas as reformas, que será a previdenciária, sem a qual o país será inviável”</w:t>
      </w:r>
      <w:r w:rsidR="00F36FA7" w:rsidRPr="002E7A99">
        <w:rPr>
          <w:rFonts w:ascii="Georgia" w:hAnsi="Georgia"/>
          <w:i/>
        </w:rPr>
        <w:t>.</w:t>
      </w:r>
      <w:r w:rsidR="00F36FA7" w:rsidRPr="002E7A99">
        <w:rPr>
          <w:rStyle w:val="Refdenotaderodap"/>
          <w:rFonts w:ascii="Georgia" w:hAnsi="Georgia"/>
        </w:rPr>
        <w:footnoteReference w:id="12"/>
      </w:r>
    </w:p>
    <w:p w:rsidR="00890F09" w:rsidRDefault="001E0B50" w:rsidP="004C6CE8">
      <w:pPr>
        <w:pStyle w:val="Commarcadores"/>
        <w:numPr>
          <w:ilvl w:val="0"/>
          <w:numId w:val="0"/>
        </w:numPr>
        <w:shd w:val="clear" w:color="auto" w:fill="FFFFFF" w:themeFill="background1"/>
        <w:spacing w:before="240" w:after="120"/>
        <w:contextualSpacing w:val="0"/>
        <w:jc w:val="both"/>
        <w:rPr>
          <w:rFonts w:ascii="Georgia" w:hAnsi="Georgia"/>
        </w:rPr>
      </w:pPr>
      <w:r w:rsidRPr="002E7A99">
        <w:rPr>
          <w:rFonts w:ascii="Georgia" w:hAnsi="Georgia"/>
        </w:rPr>
        <w:t>De forma correta, o programa do “déficit nominal zero” foi bombardeado pela ministra da Casa Civil, Dilma Roussef</w:t>
      </w:r>
      <w:r w:rsidR="00F36FA7" w:rsidRPr="002E7A99">
        <w:rPr>
          <w:rFonts w:ascii="Georgia" w:hAnsi="Georgia"/>
        </w:rPr>
        <w:t>f</w:t>
      </w:r>
      <w:r w:rsidRPr="002E7A99">
        <w:rPr>
          <w:rFonts w:ascii="Georgia" w:hAnsi="Georgia"/>
        </w:rPr>
        <w:t>. Considerou-o uma “simplificação grosseira”. Comparou-o ao “enxugamento de gelo”, pois não atacava o problema central dos juros elevados. A ministra rebateu a falácia de que “investimento é bom, gasto corrente é ruim”. E, apontou que, para o plano dar certo, seria ainda necessário “combinar com os russos”: a imensa maioria da população destituída, que demanda serviços de saúde, assistência social, educação e proteção na velhice</w:t>
      </w:r>
      <w:r w:rsidR="00F53AEC">
        <w:rPr>
          <w:rFonts w:ascii="Georgia" w:hAnsi="Georgia"/>
        </w:rPr>
        <w:t>.</w:t>
      </w:r>
      <w:r w:rsidR="00890F09">
        <w:rPr>
          <w:rFonts w:ascii="Georgia" w:hAnsi="Georgia"/>
        </w:rPr>
        <w:t xml:space="preserve"> </w:t>
      </w:r>
      <w:r w:rsidR="00F53AEC">
        <w:rPr>
          <w:rStyle w:val="Refdenotaderodap"/>
          <w:rFonts w:ascii="Georgia" w:hAnsi="Georgia"/>
        </w:rPr>
        <w:footnoteReference w:id="13"/>
      </w:r>
    </w:p>
    <w:p w:rsidR="00E442FC" w:rsidRPr="00E442FC" w:rsidRDefault="00E442FC" w:rsidP="004C6CE8">
      <w:pPr>
        <w:pStyle w:val="Commarcadores"/>
        <w:numPr>
          <w:ilvl w:val="0"/>
          <w:numId w:val="0"/>
        </w:numPr>
        <w:shd w:val="clear" w:color="auto" w:fill="FFFFFF" w:themeFill="background1"/>
        <w:spacing w:before="240" w:after="120"/>
        <w:contextualSpacing w:val="0"/>
        <w:jc w:val="both"/>
        <w:rPr>
          <w:rFonts w:ascii="Georgia" w:hAnsi="Georgia"/>
          <w:b/>
          <w:spacing w:val="-5"/>
        </w:rPr>
      </w:pPr>
      <w:r w:rsidRPr="00E442FC">
        <w:rPr>
          <w:rFonts w:ascii="Georgia" w:hAnsi="Georgia"/>
          <w:b/>
          <w:spacing w:val="-5"/>
        </w:rPr>
        <w:t>Crescimento e</w:t>
      </w:r>
      <w:r w:rsidR="00890F09">
        <w:rPr>
          <w:rFonts w:ascii="Georgia" w:hAnsi="Georgia"/>
          <w:b/>
          <w:spacing w:val="-5"/>
        </w:rPr>
        <w:t>conômico e arrefecimento das tensões (</w:t>
      </w:r>
      <w:r w:rsidRPr="00E442FC">
        <w:rPr>
          <w:rFonts w:ascii="Georgia" w:hAnsi="Georgia"/>
          <w:b/>
          <w:spacing w:val="-5"/>
        </w:rPr>
        <w:t>2007-10)</w:t>
      </w:r>
    </w:p>
    <w:p w:rsidR="00890F09" w:rsidRDefault="00B652E0" w:rsidP="004C6CE8">
      <w:pPr>
        <w:pStyle w:val="NormalWeb"/>
        <w:shd w:val="clear" w:color="auto" w:fill="FFFFFF" w:themeFill="background1"/>
        <w:spacing w:before="240" w:beforeAutospacing="0" w:after="120" w:afterAutospacing="0"/>
        <w:jc w:val="both"/>
        <w:rPr>
          <w:rFonts w:ascii="Georgia" w:hAnsi="Georgia"/>
        </w:rPr>
      </w:pPr>
      <w:r w:rsidRPr="002E7A99">
        <w:rPr>
          <w:rFonts w:ascii="Georgia" w:hAnsi="Georgia" w:cs="Arial"/>
          <w:color w:val="000000"/>
        </w:rPr>
        <w:t xml:space="preserve">No período 2007-2010, essas tensões arrefeceram, sobretudo em função do crescimento econômico que, após 25 anos, voltou a ter alguma centralidade na agenda. </w:t>
      </w:r>
      <w:r w:rsidR="005B3A34">
        <w:rPr>
          <w:rFonts w:ascii="Georgia" w:hAnsi="Georgia" w:cs="Arial"/>
          <w:color w:val="000000"/>
        </w:rPr>
        <w:t>Mesmo assim, n</w:t>
      </w:r>
      <w:r w:rsidR="005B3A34" w:rsidRPr="002E7A99">
        <w:rPr>
          <w:rFonts w:ascii="Georgia" w:hAnsi="Georgia"/>
        </w:rPr>
        <w:t xml:space="preserve">o início de 2007 o Executivo federal instituiu o Fórum Nacional da Previdência Social (FNPS). De caráter tripartite – governo, empresários e trabalhadores – o Fórum pretendia gerar consensos para a implantação de uma nova rodada de reformas da Seguridade Social. </w:t>
      </w:r>
    </w:p>
    <w:p w:rsidR="00E442FC" w:rsidRPr="00E442FC" w:rsidRDefault="00E442FC" w:rsidP="004C6CE8">
      <w:pPr>
        <w:pStyle w:val="NormalWeb"/>
        <w:shd w:val="clear" w:color="auto" w:fill="FFFFFF" w:themeFill="background1"/>
        <w:spacing w:before="240" w:beforeAutospacing="0" w:after="120" w:afterAutospacing="0"/>
        <w:jc w:val="both"/>
        <w:rPr>
          <w:rFonts w:ascii="Georgia" w:hAnsi="Georgia"/>
          <w:b/>
          <w:spacing w:val="-5"/>
        </w:rPr>
      </w:pPr>
      <w:r w:rsidRPr="00E442FC">
        <w:rPr>
          <w:rFonts w:ascii="Georgia" w:hAnsi="Georgia"/>
          <w:b/>
          <w:spacing w:val="-5"/>
        </w:rPr>
        <w:t>O r</w:t>
      </w:r>
      <w:r w:rsidRPr="00E442FC">
        <w:rPr>
          <w:rFonts w:ascii="Georgia" w:hAnsi="Georgia" w:cs="Arial"/>
          <w:b/>
          <w:spacing w:val="-5"/>
        </w:rPr>
        <w:t>ecrudescimento das tensões (</w:t>
      </w:r>
      <w:r w:rsidRPr="00E442FC">
        <w:rPr>
          <w:rFonts w:ascii="Georgia" w:hAnsi="Georgia"/>
          <w:b/>
          <w:spacing w:val="-5"/>
        </w:rPr>
        <w:t>2011-1</w:t>
      </w:r>
      <w:r w:rsidR="00890F09">
        <w:rPr>
          <w:rFonts w:ascii="Georgia" w:hAnsi="Georgia"/>
          <w:b/>
          <w:spacing w:val="-5"/>
        </w:rPr>
        <w:t>5</w:t>
      </w:r>
      <w:r w:rsidRPr="00E442FC">
        <w:rPr>
          <w:rFonts w:ascii="Georgia" w:hAnsi="Georgia"/>
          <w:b/>
          <w:spacing w:val="-5"/>
        </w:rPr>
        <w:t>).</w:t>
      </w:r>
    </w:p>
    <w:p w:rsidR="001E0B50" w:rsidRPr="002E7A99" w:rsidRDefault="005B3A34" w:rsidP="004C6CE8">
      <w:pPr>
        <w:pStyle w:val="NormalWeb"/>
        <w:shd w:val="clear" w:color="auto" w:fill="FFFFFF" w:themeFill="background1"/>
        <w:spacing w:before="240" w:beforeAutospacing="0" w:after="120" w:afterAutospacing="0"/>
        <w:jc w:val="both"/>
        <w:rPr>
          <w:rFonts w:ascii="Georgia" w:hAnsi="Georgia" w:cs="Arial"/>
          <w:color w:val="000000"/>
        </w:rPr>
      </w:pPr>
      <w:r>
        <w:rPr>
          <w:rFonts w:ascii="Georgia" w:hAnsi="Georgia" w:cs="Arial"/>
          <w:color w:val="000000"/>
        </w:rPr>
        <w:t>E</w:t>
      </w:r>
      <w:r w:rsidR="00B652E0" w:rsidRPr="002E7A99">
        <w:rPr>
          <w:rFonts w:ascii="Georgia" w:hAnsi="Georgia" w:cs="Arial"/>
          <w:color w:val="000000"/>
        </w:rPr>
        <w:t xml:space="preserve">ntre 2011 e 2014, assiste-se a um novo acirramento dessas tensões, agora com caráter antipopular e antidemocrático. Do ponto de vista político, o acirramento dessas tensões intensificou-se com a proximidade das eleições de 2014, quando a oposição aprofundou a campanha ideológica contra o suposto programa intervencionista, agora com o propósito de apresentar o Brasil em "crise econômica terminal" </w:t>
      </w:r>
      <w:r w:rsidR="00B652E0" w:rsidRPr="005B3A34">
        <w:rPr>
          <w:rFonts w:ascii="Georgia" w:hAnsi="Georgia" w:cs="Arial"/>
          <w:color w:val="365F91" w:themeColor="accent1" w:themeShade="BF"/>
        </w:rPr>
        <w:t>(POR UM BRASIL JUSTO E DEMOCRÁTICO, 2015).</w:t>
      </w:r>
      <w:r w:rsidR="00B652E0" w:rsidRPr="002E7A99">
        <w:rPr>
          <w:rFonts w:ascii="Georgia" w:hAnsi="Georgia" w:cs="Arial"/>
          <w:color w:val="000000"/>
        </w:rPr>
        <w:t xml:space="preserve"> </w:t>
      </w:r>
    </w:p>
    <w:p w:rsidR="002A3A3A" w:rsidRPr="002A3A3A" w:rsidRDefault="002A3A3A" w:rsidP="004C6CE8">
      <w:pPr>
        <w:spacing w:before="240" w:after="120"/>
        <w:jc w:val="both"/>
        <w:rPr>
          <w:rFonts w:ascii="Georgia" w:eastAsiaTheme="minorHAnsi" w:hAnsi="Georgia"/>
          <w:b/>
          <w:lang w:eastAsia="en-US"/>
        </w:rPr>
      </w:pPr>
      <w:r w:rsidRPr="002A3A3A">
        <w:rPr>
          <w:rFonts w:ascii="Georgia" w:eastAsiaTheme="minorHAnsi" w:hAnsi="Georgia"/>
          <w:b/>
          <w:lang w:eastAsia="en-US"/>
        </w:rPr>
        <w:t xml:space="preserve">Fim do Breve Ciclo da Cidadania Social </w:t>
      </w:r>
      <w:r w:rsidR="00890F09">
        <w:rPr>
          <w:rFonts w:ascii="Georgia" w:eastAsiaTheme="minorHAnsi" w:hAnsi="Georgia"/>
          <w:b/>
          <w:lang w:eastAsia="en-US"/>
        </w:rPr>
        <w:t>(2016-2018)</w:t>
      </w:r>
    </w:p>
    <w:p w:rsidR="00B652E0" w:rsidRPr="002E7A99" w:rsidRDefault="00B652E0" w:rsidP="004C6CE8">
      <w:pPr>
        <w:spacing w:before="240" w:after="120"/>
        <w:jc w:val="both"/>
        <w:rPr>
          <w:rFonts w:ascii="Georgia" w:eastAsiaTheme="minorHAnsi" w:hAnsi="Georgia" w:cs="Arial"/>
          <w:lang w:eastAsia="en-US"/>
        </w:rPr>
      </w:pPr>
      <w:r w:rsidRPr="002E7A99">
        <w:rPr>
          <w:rFonts w:ascii="Georgia" w:eastAsiaTheme="minorHAnsi" w:hAnsi="Georgia"/>
          <w:lang w:eastAsia="en-US"/>
        </w:rPr>
        <w:t>O período 201</w:t>
      </w:r>
      <w:r w:rsidR="0048479E" w:rsidRPr="002E7A99">
        <w:rPr>
          <w:rFonts w:ascii="Georgia" w:eastAsiaTheme="minorHAnsi" w:hAnsi="Georgia"/>
          <w:lang w:eastAsia="en-US"/>
        </w:rPr>
        <w:t>5</w:t>
      </w:r>
      <w:r w:rsidRPr="002E7A99">
        <w:rPr>
          <w:rFonts w:ascii="Georgia" w:eastAsiaTheme="minorHAnsi" w:hAnsi="Georgia"/>
          <w:lang w:eastAsia="en-US"/>
        </w:rPr>
        <w:t xml:space="preserve">-18 pode representar o fim do </w:t>
      </w:r>
      <w:r w:rsidR="0048479E" w:rsidRPr="002E7A99">
        <w:rPr>
          <w:rFonts w:ascii="Georgia" w:eastAsiaTheme="minorHAnsi" w:hAnsi="Georgia"/>
          <w:lang w:eastAsia="en-US"/>
        </w:rPr>
        <w:t xml:space="preserve">breve e inédito </w:t>
      </w:r>
      <w:r w:rsidRPr="002E7A99">
        <w:rPr>
          <w:rFonts w:ascii="Georgia" w:eastAsiaTheme="minorHAnsi" w:hAnsi="Georgia"/>
          <w:lang w:eastAsia="en-US"/>
        </w:rPr>
        <w:t xml:space="preserve">ciclo de construção da cidadania social </w:t>
      </w:r>
      <w:r w:rsidR="0048479E" w:rsidRPr="002E7A99">
        <w:rPr>
          <w:rFonts w:ascii="Georgia" w:eastAsiaTheme="minorHAnsi" w:hAnsi="Georgia"/>
          <w:lang w:eastAsia="en-US"/>
        </w:rPr>
        <w:t>iniciado em 1988</w:t>
      </w:r>
      <w:r w:rsidRPr="002E7A99">
        <w:rPr>
          <w:rFonts w:ascii="Georgia" w:eastAsiaTheme="minorHAnsi" w:hAnsi="Georgia"/>
          <w:lang w:eastAsia="en-US"/>
        </w:rPr>
        <w:t xml:space="preserve">. A </w:t>
      </w:r>
      <w:r w:rsidRPr="002E7A99">
        <w:rPr>
          <w:rFonts w:ascii="Georgia" w:eastAsiaTheme="minorHAnsi" w:hAnsi="Georgia" w:cs="Arial"/>
          <w:lang w:eastAsia="en-US"/>
        </w:rPr>
        <w:t xml:space="preserve">radicalização do projeto liberal, derrotado nas últimas quatro eleições, caminha no sentido de levar ao extremo a reforma do Estado iniciada nos anos de 1990. O objetivo é "privatizar tudo o que for possível", tanto na infraestrutura econômica quanto na infraestrutura social. </w:t>
      </w:r>
    </w:p>
    <w:p w:rsidR="00B652E0" w:rsidRPr="002E7A99" w:rsidRDefault="00B652E0" w:rsidP="004C6CE8">
      <w:pPr>
        <w:spacing w:before="240" w:after="120"/>
        <w:jc w:val="both"/>
        <w:rPr>
          <w:rFonts w:ascii="Georgia" w:eastAsiaTheme="minorHAnsi" w:hAnsi="Georgia" w:cs="Arial"/>
          <w:lang w:eastAsia="en-US"/>
        </w:rPr>
      </w:pPr>
      <w:r w:rsidRPr="002E7A99">
        <w:rPr>
          <w:rFonts w:ascii="Georgia" w:eastAsiaTheme="minorHAnsi" w:hAnsi="Georgia" w:cs="Arial"/>
          <w:lang w:eastAsia="en-US"/>
        </w:rPr>
        <w:t xml:space="preserve">Na gestão macroeconômica há o reforço das políticas de "austeridade" e o aprofundamento da arquitetura institucional consubstanciada no "tripé". Diversas medidas tramitam no Congresso Nacional com esse objetivo (a autonomia jurídica para o Banco Central e a criação de uma Autoridade Fiscal Independente, por exemplo). </w:t>
      </w:r>
    </w:p>
    <w:p w:rsidR="00B652E0" w:rsidRPr="002E7A99" w:rsidRDefault="00B652E0" w:rsidP="004C6CE8">
      <w:pPr>
        <w:widowControl w:val="0"/>
        <w:autoSpaceDE w:val="0"/>
        <w:autoSpaceDN w:val="0"/>
        <w:adjustRightInd w:val="0"/>
        <w:spacing w:before="240" w:after="120"/>
        <w:jc w:val="both"/>
        <w:rPr>
          <w:rFonts w:ascii="Georgia" w:eastAsiaTheme="minorEastAsia" w:hAnsi="Georgia"/>
          <w:kern w:val="24"/>
        </w:rPr>
      </w:pPr>
      <w:r w:rsidRPr="002E7A99">
        <w:rPr>
          <w:rFonts w:ascii="Georgia" w:eastAsiaTheme="minorEastAsia" w:hAnsi="Georgia"/>
          <w:lang w:eastAsia="en-US"/>
        </w:rPr>
        <w:t xml:space="preserve">Políticas de "austeridade" geram recessão, o que debilita as receitas </w:t>
      </w:r>
      <w:r w:rsidRPr="002E7A99">
        <w:rPr>
          <w:rFonts w:ascii="Georgia" w:eastAsiaTheme="minorEastAsia" w:hAnsi="Georgia"/>
          <w:lang w:eastAsia="en-US"/>
        </w:rPr>
        <w:lastRenderedPageBreak/>
        <w:t xml:space="preserve">governamentais e torna o ajuste fiscal um processo sem fim. O único </w:t>
      </w:r>
      <w:r w:rsidRPr="002E7A99">
        <w:rPr>
          <w:rFonts w:ascii="Georgia" w:eastAsiaTheme="minorEastAsia" w:hAnsi="Georgia"/>
          <w:kern w:val="24"/>
        </w:rPr>
        <w:t>propósito é "colocar a inflação no centro da meta" pelo desaquecimento da demanda. Taxa real de juro elevada (na contramão da experiência internacional), corte de investimentos e gastos sociais, desemprego e rebaixamento da renda do trabalho são funcionais para esse objetivo. Essa opção colocou o país, que não estava em crise severa em 2014, numa grave recessão, com dois anos seguidos (2015-16) de queda da atividade econômica em torno de 3,5% do PIB.</w:t>
      </w:r>
    </w:p>
    <w:p w:rsidR="00B652E0" w:rsidRPr="002E7A99" w:rsidRDefault="00B652E0" w:rsidP="004C6CE8">
      <w:pPr>
        <w:spacing w:before="240" w:after="120"/>
        <w:jc w:val="both"/>
        <w:rPr>
          <w:rFonts w:ascii="Georgia" w:hAnsi="Georgia"/>
        </w:rPr>
      </w:pPr>
      <w:r w:rsidRPr="002E7A99">
        <w:rPr>
          <w:rFonts w:ascii="Georgia" w:eastAsiaTheme="minorEastAsia" w:hAnsi="Georgia"/>
          <w:kern w:val="24"/>
        </w:rPr>
        <w:t xml:space="preserve">A recessão também é funcional para justificar a implantação do Estado Mínimo liberal, pois "não há alternativa" </w:t>
      </w:r>
      <w:r w:rsidRPr="002E7A99">
        <w:rPr>
          <w:rFonts w:ascii="Georgia" w:eastAsia="Droid Sans" w:hAnsi="Georgia"/>
          <w:lang w:eastAsia="ar-SA"/>
        </w:rPr>
        <w:t xml:space="preserve">a não ser o corte de gastos "obrigatórios" das políticas sociais universais consagradas na "Ordem Social" da </w:t>
      </w:r>
      <w:r w:rsidRPr="002E7A99">
        <w:rPr>
          <w:rFonts w:ascii="Georgia" w:eastAsiaTheme="minorHAnsi" w:hAnsi="Georgia"/>
          <w:lang w:eastAsia="en-US"/>
        </w:rPr>
        <w:t xml:space="preserve">Constituição da República. </w:t>
      </w:r>
      <w:r w:rsidRPr="002E7A99">
        <w:rPr>
          <w:rFonts w:ascii="Georgia" w:eastAsiaTheme="minorHAnsi" w:hAnsi="Georgia"/>
          <w:color w:val="000000"/>
          <w:lang w:eastAsia="en-US"/>
        </w:rPr>
        <w:t xml:space="preserve">A tese ideológica do "país ingovernável", esgrimida em 1988, voltou a ditar o rumo do debate imposto pelos representantes do mercado. Agora, eles obtiveram êxito no serviço de criar o "consenso" de que estabilizar a dinâmica da dívida pública requereria modificar o "contrato social da redemocratização". Para essa corrente, a </w:t>
      </w:r>
      <w:r w:rsidRPr="002E7A99">
        <w:rPr>
          <w:rFonts w:ascii="Georgia" w:hAnsi="Georgia"/>
        </w:rPr>
        <w:t>crise fiscal decorreria da trajetória "insustentável" de aumento dos gastos sociais desde 1993, por conta da Carta de 1988.</w:t>
      </w:r>
      <w:r w:rsidRPr="002E7A99">
        <w:rPr>
          <w:rFonts w:ascii="Georgia" w:hAnsi="Georgia"/>
          <w:vertAlign w:val="superscript"/>
        </w:rPr>
        <w:footnoteReference w:id="14"/>
      </w:r>
      <w:r w:rsidRPr="002E7A99">
        <w:rPr>
          <w:rFonts w:ascii="Georgia" w:hAnsi="Georgia"/>
        </w:rPr>
        <w:t xml:space="preserve"> </w:t>
      </w:r>
      <w:r w:rsidRPr="002E7A99">
        <w:rPr>
          <w:rFonts w:ascii="Georgia" w:eastAsiaTheme="minorHAnsi" w:hAnsi="Georgia"/>
          <w:color w:val="000000"/>
          <w:lang w:eastAsia="en-US"/>
        </w:rPr>
        <w:t>Também argumentam que os juros elevados praticados no Brasil decorrem da "</w:t>
      </w:r>
      <w:r w:rsidRPr="002E7A99">
        <w:rPr>
          <w:rFonts w:ascii="Georgia" w:hAnsi="Georgia"/>
          <w:bCs/>
        </w:rPr>
        <w:t>baixa poupança" do governo, fruto de "s</w:t>
      </w:r>
      <w:r w:rsidRPr="002E7A99">
        <w:rPr>
          <w:rFonts w:ascii="Georgia" w:hAnsi="Georgia"/>
        </w:rPr>
        <w:t xml:space="preserve">ociedades que provêm Estado de Bem-Estar social generoso com diversos mecanismos públicos de mitigação de riscos" </w:t>
      </w:r>
      <w:r w:rsidRPr="002E7A99">
        <w:rPr>
          <w:rFonts w:ascii="Georgia" w:hAnsi="Georgia"/>
          <w:vertAlign w:val="superscript"/>
        </w:rPr>
        <w:footnoteReference w:id="15"/>
      </w:r>
      <w:r w:rsidRPr="002E7A99">
        <w:rPr>
          <w:rFonts w:ascii="Georgia" w:hAnsi="Georgia"/>
        </w:rPr>
        <w:t>.</w:t>
      </w:r>
      <w:r w:rsidRPr="002E7A99">
        <w:rPr>
          <w:rFonts w:ascii="Georgia" w:hAnsi="Georgia"/>
          <w:color w:val="FF0000"/>
        </w:rPr>
        <w:t xml:space="preserve"> </w:t>
      </w:r>
    </w:p>
    <w:p w:rsidR="00B652E0" w:rsidRDefault="00B652E0" w:rsidP="004C6CE8">
      <w:pPr>
        <w:spacing w:before="240" w:after="120"/>
        <w:jc w:val="both"/>
        <w:rPr>
          <w:rFonts w:ascii="Georgia" w:hAnsi="Georgia"/>
          <w:spacing w:val="-5"/>
        </w:rPr>
      </w:pPr>
      <w:r w:rsidRPr="002E7A99">
        <w:rPr>
          <w:rFonts w:ascii="Georgia" w:eastAsiaTheme="minorHAnsi" w:hAnsi="Georgia"/>
          <w:lang w:eastAsia="en-US"/>
        </w:rPr>
        <w:t>O processo de destruição do Estado Social está sendo encenado em seis atos principais</w:t>
      </w:r>
      <w:r w:rsidR="0048479E" w:rsidRPr="002E7A99">
        <w:rPr>
          <w:rFonts w:ascii="Georgia" w:eastAsiaTheme="minorHAnsi" w:hAnsi="Georgia"/>
          <w:lang w:eastAsia="en-US"/>
        </w:rPr>
        <w:t>: a</w:t>
      </w:r>
      <w:r w:rsidRPr="002E7A99">
        <w:rPr>
          <w:rFonts w:ascii="Georgia" w:hAnsi="Georgia"/>
          <w:spacing w:val="-5"/>
        </w:rPr>
        <w:t>mpliação da desvinculação constitucional de recursos das políticas sociais;</w:t>
      </w:r>
      <w:r w:rsidR="0048479E" w:rsidRPr="002E7A99">
        <w:rPr>
          <w:rFonts w:ascii="Georgia" w:hAnsi="Georgia"/>
          <w:spacing w:val="-5"/>
        </w:rPr>
        <w:t xml:space="preserve"> o</w:t>
      </w:r>
      <w:r w:rsidRPr="002E7A99">
        <w:rPr>
          <w:rFonts w:ascii="Georgia" w:hAnsi="Georgia"/>
          <w:spacing w:val="-5"/>
        </w:rPr>
        <w:t xml:space="preserve"> "Novo Regime Fiscal";</w:t>
      </w:r>
      <w:r w:rsidR="0048479E" w:rsidRPr="002E7A99">
        <w:rPr>
          <w:rFonts w:ascii="Georgia" w:hAnsi="Georgia"/>
          <w:spacing w:val="-5"/>
        </w:rPr>
        <w:t xml:space="preserve"> o</w:t>
      </w:r>
      <w:r w:rsidRPr="002E7A99">
        <w:rPr>
          <w:rFonts w:ascii="Georgia" w:hAnsi="Georgia"/>
          <w:spacing w:val="-5"/>
        </w:rPr>
        <w:t xml:space="preserve"> </w:t>
      </w:r>
      <w:r w:rsidR="0048479E" w:rsidRPr="002E7A99">
        <w:rPr>
          <w:rFonts w:ascii="Georgia" w:hAnsi="Georgia"/>
          <w:spacing w:val="-5"/>
        </w:rPr>
        <w:t>f</w:t>
      </w:r>
      <w:r w:rsidRPr="002E7A99">
        <w:rPr>
          <w:rFonts w:ascii="Georgia" w:hAnsi="Georgia"/>
          <w:spacing w:val="-5"/>
        </w:rPr>
        <w:t>im de vinculações de recursos para a área social;</w:t>
      </w:r>
      <w:r w:rsidR="0048479E" w:rsidRPr="002E7A99">
        <w:rPr>
          <w:rFonts w:ascii="Georgia" w:hAnsi="Georgia"/>
          <w:spacing w:val="-5"/>
        </w:rPr>
        <w:t xml:space="preserve"> a </w:t>
      </w:r>
      <w:r w:rsidRPr="002E7A99">
        <w:rPr>
          <w:rFonts w:ascii="Georgia" w:hAnsi="Georgia"/>
          <w:spacing w:val="-5"/>
        </w:rPr>
        <w:t xml:space="preserve">Reforma Tributária; </w:t>
      </w:r>
      <w:r w:rsidR="0048479E" w:rsidRPr="002E7A99">
        <w:rPr>
          <w:rFonts w:ascii="Georgia" w:hAnsi="Georgia"/>
          <w:spacing w:val="-5"/>
        </w:rPr>
        <w:t>os r</w:t>
      </w:r>
      <w:r w:rsidRPr="002E7A99">
        <w:rPr>
          <w:rFonts w:ascii="Georgia" w:hAnsi="Georgia"/>
          <w:spacing w:val="-5"/>
        </w:rPr>
        <w:t>etrocesso</w:t>
      </w:r>
      <w:r w:rsidR="00E31FF5" w:rsidRPr="002E7A99">
        <w:rPr>
          <w:rFonts w:ascii="Georgia" w:hAnsi="Georgia"/>
          <w:spacing w:val="-5"/>
        </w:rPr>
        <w:t>s</w:t>
      </w:r>
      <w:r w:rsidRPr="002E7A99">
        <w:rPr>
          <w:rFonts w:ascii="Georgia" w:hAnsi="Georgia"/>
          <w:spacing w:val="-5"/>
        </w:rPr>
        <w:t xml:space="preserve"> nos direitos trabalhistas e sindicais</w:t>
      </w:r>
      <w:r w:rsidR="0048479E" w:rsidRPr="002E7A99">
        <w:rPr>
          <w:rFonts w:ascii="Georgia" w:hAnsi="Georgia"/>
          <w:spacing w:val="-5"/>
        </w:rPr>
        <w:t>; e, a Reforma da Previdência (PEC 287).</w:t>
      </w:r>
    </w:p>
    <w:p w:rsidR="004C6CE8" w:rsidRPr="002E7A99" w:rsidRDefault="004C6CE8" w:rsidP="004C6CE8">
      <w:pPr>
        <w:spacing w:before="240" w:after="120"/>
        <w:jc w:val="both"/>
        <w:rPr>
          <w:rFonts w:ascii="Georgia" w:hAnsi="Georgia"/>
          <w:spacing w:val="-5"/>
        </w:rPr>
      </w:pPr>
    </w:p>
    <w:p w:rsidR="00F36FA7" w:rsidRPr="002E7A99" w:rsidRDefault="00F36FA7" w:rsidP="004C6CE8">
      <w:pPr>
        <w:pStyle w:val="NormalWeb"/>
        <w:shd w:val="clear" w:color="auto" w:fill="FFFFFF" w:themeFill="background1"/>
        <w:spacing w:before="240" w:beforeAutospacing="0" w:after="120" w:afterAutospacing="0"/>
        <w:jc w:val="both"/>
        <w:rPr>
          <w:rFonts w:ascii="Georgia" w:hAnsi="Georgia" w:cs="Arial"/>
          <w:color w:val="000000"/>
        </w:rPr>
      </w:pPr>
    </w:p>
    <w:p w:rsidR="001E0B50" w:rsidRPr="00291E7D" w:rsidRDefault="004C6CE8" w:rsidP="004C6CE8">
      <w:pPr>
        <w:pStyle w:val="Lista"/>
        <w:numPr>
          <w:ilvl w:val="0"/>
          <w:numId w:val="42"/>
        </w:numPr>
        <w:shd w:val="clear" w:color="auto" w:fill="FFFFFF" w:themeFill="background1"/>
        <w:spacing w:before="240"/>
        <w:ind w:left="0" w:firstLine="0"/>
        <w:jc w:val="both"/>
        <w:rPr>
          <w:rFonts w:asciiTheme="minorHAnsi" w:hAnsiTheme="minorHAnsi" w:cstheme="minorHAnsi"/>
          <w:sz w:val="28"/>
          <w:szCs w:val="24"/>
        </w:rPr>
      </w:pPr>
      <w:r w:rsidRPr="00291E7D">
        <w:rPr>
          <w:rFonts w:asciiTheme="minorHAnsi" w:hAnsiTheme="minorHAnsi" w:cstheme="minorHAnsi"/>
          <w:b/>
          <w:bCs/>
          <w:sz w:val="28"/>
          <w:szCs w:val="24"/>
        </w:rPr>
        <w:t>INCONSTITUCIONALIDADES APARENTES NA PREVIDÊNCIA E NA SEGURIDADE SOCIAL</w:t>
      </w:r>
    </w:p>
    <w:p w:rsidR="00BA1C54" w:rsidRDefault="00BA1C54" w:rsidP="004C6CE8">
      <w:pPr>
        <w:pStyle w:val="Commarcadores"/>
        <w:numPr>
          <w:ilvl w:val="0"/>
          <w:numId w:val="0"/>
        </w:numPr>
        <w:shd w:val="clear" w:color="auto" w:fill="FFFFFF" w:themeFill="background1"/>
        <w:spacing w:before="240" w:after="120"/>
        <w:contextualSpacing w:val="0"/>
        <w:jc w:val="both"/>
        <w:rPr>
          <w:rFonts w:ascii="Georgia" w:hAnsi="Georgia"/>
        </w:rPr>
      </w:pPr>
    </w:p>
    <w:p w:rsidR="00F378C0" w:rsidRPr="002E7A99" w:rsidRDefault="00F378C0" w:rsidP="004C6CE8">
      <w:pPr>
        <w:pStyle w:val="Commarcadores"/>
        <w:numPr>
          <w:ilvl w:val="0"/>
          <w:numId w:val="0"/>
        </w:numPr>
        <w:shd w:val="clear" w:color="auto" w:fill="FFFFFF" w:themeFill="background1"/>
        <w:spacing w:before="240" w:after="120"/>
        <w:contextualSpacing w:val="0"/>
        <w:jc w:val="both"/>
        <w:rPr>
          <w:rFonts w:ascii="Georgia" w:hAnsi="Georgia"/>
        </w:rPr>
      </w:pPr>
      <w:r w:rsidRPr="002E7A99">
        <w:rPr>
          <w:rFonts w:ascii="Georgia" w:hAnsi="Georgia"/>
        </w:rPr>
        <w:t xml:space="preserve">A questão de fundo é que certos setores da sociedade resistem a aceitar </w:t>
      </w:r>
      <w:r w:rsidR="00BA1C54">
        <w:rPr>
          <w:rFonts w:ascii="Georgia" w:hAnsi="Georgia"/>
        </w:rPr>
        <w:t>as conquistas sociais de 1988</w:t>
      </w:r>
      <w:r w:rsidRPr="002E7A99">
        <w:rPr>
          <w:rFonts w:ascii="Georgia" w:hAnsi="Georgia"/>
        </w:rPr>
        <w:t>. A mesma recusa se verificou em todos os governos desde 198</w:t>
      </w:r>
      <w:r w:rsidR="00BA1C54">
        <w:rPr>
          <w:rFonts w:ascii="Georgia" w:hAnsi="Georgia"/>
        </w:rPr>
        <w:t>9</w:t>
      </w:r>
      <w:r w:rsidRPr="002E7A99">
        <w:rPr>
          <w:rFonts w:ascii="Georgia" w:hAnsi="Georgia"/>
        </w:rPr>
        <w:t xml:space="preserve">. Optaram por descumprir princípios fundamentais da organização e do </w:t>
      </w:r>
      <w:r w:rsidR="00BA1C54">
        <w:rPr>
          <w:rFonts w:ascii="Georgia" w:hAnsi="Georgia"/>
        </w:rPr>
        <w:t>O</w:t>
      </w:r>
      <w:r w:rsidRPr="002E7A99">
        <w:rPr>
          <w:rFonts w:ascii="Georgia" w:hAnsi="Georgia"/>
        </w:rPr>
        <w:t xml:space="preserve">rçamento da </w:t>
      </w:r>
      <w:r w:rsidR="00BA1C54">
        <w:rPr>
          <w:rFonts w:ascii="Georgia" w:hAnsi="Georgia"/>
        </w:rPr>
        <w:t>S</w:t>
      </w:r>
      <w:r w:rsidRPr="002E7A99">
        <w:rPr>
          <w:rFonts w:ascii="Georgia" w:hAnsi="Georgia"/>
        </w:rPr>
        <w:t xml:space="preserve">eguridade </w:t>
      </w:r>
      <w:r w:rsidR="00BA1C54">
        <w:rPr>
          <w:rFonts w:ascii="Georgia" w:hAnsi="Georgia"/>
        </w:rPr>
        <w:t>S</w:t>
      </w:r>
      <w:r w:rsidRPr="002E7A99">
        <w:rPr>
          <w:rFonts w:ascii="Georgia" w:hAnsi="Georgia"/>
        </w:rPr>
        <w:t>ocial (SS) e dos mecanismos que asseguram o controle social sobre os rumos das políticas de saúde, previdência e assistência social (Conselho Nacional da Seguridade Social).</w:t>
      </w:r>
      <w:r w:rsidR="00BA1C54">
        <w:rPr>
          <w:rFonts w:ascii="Georgia" w:hAnsi="Georgia"/>
        </w:rPr>
        <w:t xml:space="preserve"> </w:t>
      </w:r>
      <w:r w:rsidRPr="002E7A99">
        <w:rPr>
          <w:rFonts w:ascii="Georgia" w:hAnsi="Georgia"/>
        </w:rPr>
        <w:t xml:space="preserve">Após 27 anos prevalece um conjunto de aparentes inconstitucionalidades. Digo aparentes porque, </w:t>
      </w:r>
      <w:r w:rsidR="00BA1C54">
        <w:rPr>
          <w:rFonts w:ascii="Georgia" w:hAnsi="Georgia"/>
        </w:rPr>
        <w:t xml:space="preserve">não sendo jurista, </w:t>
      </w:r>
      <w:r w:rsidRPr="002E7A99">
        <w:rPr>
          <w:rFonts w:ascii="Georgia" w:hAnsi="Georgia"/>
        </w:rPr>
        <w:t xml:space="preserve">não tenho competência para comprovar com rigor esses pontos. </w:t>
      </w:r>
    </w:p>
    <w:p w:rsidR="003E1C23" w:rsidRPr="002E7A99" w:rsidRDefault="003E1C23" w:rsidP="004C6CE8">
      <w:pPr>
        <w:pStyle w:val="Commarcadores"/>
        <w:numPr>
          <w:ilvl w:val="0"/>
          <w:numId w:val="0"/>
        </w:numPr>
        <w:shd w:val="clear" w:color="auto" w:fill="FFFFFF" w:themeFill="background1"/>
        <w:spacing w:before="240" w:after="120"/>
        <w:contextualSpacing w:val="0"/>
        <w:jc w:val="both"/>
        <w:rPr>
          <w:rFonts w:ascii="Georgia" w:hAnsi="Georgia"/>
          <w:b/>
        </w:rPr>
      </w:pPr>
      <w:r w:rsidRPr="002E7A99">
        <w:rPr>
          <w:rFonts w:ascii="Georgia" w:hAnsi="Georgia"/>
          <w:b/>
        </w:rPr>
        <w:t>Organização da Seguridade Social</w:t>
      </w:r>
    </w:p>
    <w:p w:rsidR="00BA1C54" w:rsidRDefault="00F378C0" w:rsidP="004C6CE8">
      <w:pPr>
        <w:pStyle w:val="Commarcadores"/>
        <w:numPr>
          <w:ilvl w:val="0"/>
          <w:numId w:val="0"/>
        </w:numPr>
        <w:shd w:val="clear" w:color="auto" w:fill="FFFFFF" w:themeFill="background1"/>
        <w:spacing w:before="240" w:after="120"/>
        <w:contextualSpacing w:val="0"/>
        <w:jc w:val="both"/>
        <w:rPr>
          <w:rFonts w:ascii="Georgia" w:hAnsi="Georgia"/>
        </w:rPr>
      </w:pPr>
      <w:r w:rsidRPr="002E7A99">
        <w:rPr>
          <w:rFonts w:ascii="Georgia" w:hAnsi="Georgia"/>
        </w:rPr>
        <w:lastRenderedPageBreak/>
        <w:t>A primeira aparente ilegalidade é que o poder público jamais organizou a SS como rezam os artigos 165, 194, 195 e 59 (este último do Ato das Disposições Constitucionais Transitórias</w:t>
      </w:r>
      <w:r w:rsidR="003E40AC" w:rsidRPr="002E7A99">
        <w:rPr>
          <w:rFonts w:ascii="Georgia" w:hAnsi="Georgia"/>
        </w:rPr>
        <w:t xml:space="preserve"> - ADCT</w:t>
      </w:r>
      <w:r w:rsidRPr="002E7A99">
        <w:rPr>
          <w:rFonts w:ascii="Georgia" w:hAnsi="Georgia"/>
        </w:rPr>
        <w:t xml:space="preserve">). </w:t>
      </w:r>
    </w:p>
    <w:p w:rsidR="0024108E" w:rsidRPr="002E7A99" w:rsidRDefault="00F378C0" w:rsidP="004C6CE8">
      <w:pPr>
        <w:pStyle w:val="Commarcadores"/>
        <w:numPr>
          <w:ilvl w:val="0"/>
          <w:numId w:val="0"/>
        </w:numPr>
        <w:shd w:val="clear" w:color="auto" w:fill="FFFFFF" w:themeFill="background1"/>
        <w:spacing w:before="240" w:after="120"/>
        <w:contextualSpacing w:val="0"/>
        <w:jc w:val="both"/>
        <w:rPr>
          <w:rFonts w:ascii="Georgia" w:hAnsi="Georgia"/>
        </w:rPr>
      </w:pPr>
      <w:r w:rsidRPr="002E7A99">
        <w:rPr>
          <w:rFonts w:ascii="Georgia" w:hAnsi="Georgia"/>
        </w:rPr>
        <w:t xml:space="preserve">A Constituição de 1988 instituiu a SS integrada pelos setores da saúde, previdência e assistência social e seguro-desemprego (artigo 194). O artigo 59 dos ADCT estabeleceu prazos claros: </w:t>
      </w:r>
    </w:p>
    <w:p w:rsidR="0024108E" w:rsidRPr="00BA1C54" w:rsidRDefault="00F378C0" w:rsidP="004C6CE8">
      <w:pPr>
        <w:pStyle w:val="Commarcadores"/>
        <w:numPr>
          <w:ilvl w:val="0"/>
          <w:numId w:val="0"/>
        </w:numPr>
        <w:shd w:val="clear" w:color="auto" w:fill="FFFFFF" w:themeFill="background1"/>
        <w:spacing w:before="240" w:after="120"/>
        <w:contextualSpacing w:val="0"/>
        <w:jc w:val="both"/>
        <w:rPr>
          <w:rFonts w:ascii="Georgia" w:hAnsi="Georgia"/>
          <w:i/>
          <w:sz w:val="22"/>
        </w:rPr>
      </w:pPr>
      <w:r w:rsidRPr="00BA1C54">
        <w:rPr>
          <w:rFonts w:ascii="Georgia" w:hAnsi="Georgia"/>
          <w:i/>
          <w:sz w:val="22"/>
        </w:rPr>
        <w:t xml:space="preserve">"Os projetos de lei relativos à organização da seguridade social e aos planos de custeio e de benefício serão apresentados no prazo máximo de seis meses da promulgação da Constituição ao Congresso Nacional, que terá seis meses para apreciá-los". O parágrafo único complementa: "Aprovados pelo Congresso Nacional, os planos serão implantados progressivamente nos dezoito meses seguintes". </w:t>
      </w:r>
    </w:p>
    <w:p w:rsidR="00F378C0" w:rsidRPr="002E7A99" w:rsidRDefault="00F378C0" w:rsidP="004C6CE8">
      <w:pPr>
        <w:pStyle w:val="Commarcadores"/>
        <w:numPr>
          <w:ilvl w:val="0"/>
          <w:numId w:val="0"/>
        </w:numPr>
        <w:shd w:val="clear" w:color="auto" w:fill="FFFFFF" w:themeFill="background1"/>
        <w:spacing w:before="240" w:after="120"/>
        <w:contextualSpacing w:val="0"/>
        <w:jc w:val="both"/>
        <w:rPr>
          <w:rFonts w:ascii="Georgia" w:hAnsi="Georgia"/>
        </w:rPr>
      </w:pPr>
      <w:r w:rsidRPr="002E7A99">
        <w:rPr>
          <w:rFonts w:ascii="Georgia" w:hAnsi="Georgia"/>
        </w:rPr>
        <w:t xml:space="preserve">Esses prazos, todavia, não foram observados. Tais determinações - mantidas pela Lei Orgânica da Seguridade Social (1991) e pela Emenda Constitucional 20/98 </w:t>
      </w:r>
      <w:r w:rsidR="003E40AC" w:rsidRPr="002E7A99">
        <w:rPr>
          <w:rFonts w:ascii="Georgia" w:hAnsi="Georgia"/>
        </w:rPr>
        <w:t>–</w:t>
      </w:r>
      <w:r w:rsidRPr="002E7A99">
        <w:rPr>
          <w:rFonts w:ascii="Georgia" w:hAnsi="Georgia"/>
        </w:rPr>
        <w:t xml:space="preserve"> </w:t>
      </w:r>
      <w:r w:rsidR="003E40AC" w:rsidRPr="002E7A99">
        <w:rPr>
          <w:rFonts w:ascii="Georgia" w:hAnsi="Georgia"/>
        </w:rPr>
        <w:t xml:space="preserve">também </w:t>
      </w:r>
      <w:r w:rsidRPr="002E7A99">
        <w:rPr>
          <w:rFonts w:ascii="Georgia" w:hAnsi="Georgia"/>
        </w:rPr>
        <w:t xml:space="preserve">foram </w:t>
      </w:r>
      <w:r w:rsidR="00BA1C54">
        <w:rPr>
          <w:rFonts w:ascii="Georgia" w:hAnsi="Georgia"/>
        </w:rPr>
        <w:t>d</w:t>
      </w:r>
      <w:r w:rsidRPr="002E7A99">
        <w:rPr>
          <w:rFonts w:ascii="Georgia" w:hAnsi="Georgia"/>
        </w:rPr>
        <w:t xml:space="preserve">escumpridas. O Executivo jamais formulou o projeto de lei de organização da </w:t>
      </w:r>
      <w:r w:rsidR="00BA1C54">
        <w:rPr>
          <w:rFonts w:ascii="Georgia" w:hAnsi="Georgia"/>
        </w:rPr>
        <w:t>S</w:t>
      </w:r>
      <w:r w:rsidRPr="002E7A99">
        <w:rPr>
          <w:rFonts w:ascii="Georgia" w:hAnsi="Georgia"/>
        </w:rPr>
        <w:t xml:space="preserve">eguridade </w:t>
      </w:r>
      <w:r w:rsidR="00BA1C54">
        <w:rPr>
          <w:rFonts w:ascii="Georgia" w:hAnsi="Georgia"/>
        </w:rPr>
        <w:t>S</w:t>
      </w:r>
      <w:r w:rsidRPr="002E7A99">
        <w:rPr>
          <w:rFonts w:ascii="Georgia" w:hAnsi="Georgia"/>
        </w:rPr>
        <w:t xml:space="preserve">ocial, conforme </w:t>
      </w:r>
      <w:r w:rsidR="00BA1C54">
        <w:rPr>
          <w:rFonts w:ascii="Georgia" w:hAnsi="Georgia"/>
        </w:rPr>
        <w:t xml:space="preserve">determina </w:t>
      </w:r>
      <w:r w:rsidRPr="002E7A99">
        <w:rPr>
          <w:rFonts w:ascii="Georgia" w:hAnsi="Georgia"/>
        </w:rPr>
        <w:t>a Carta Magna. Optou por formular projetos de lei setoriais separados e institucional e financeiramente desarticulados.</w:t>
      </w:r>
    </w:p>
    <w:p w:rsidR="003E1C23" w:rsidRPr="002E7A99" w:rsidRDefault="003E1C23" w:rsidP="004C6CE8">
      <w:pPr>
        <w:pStyle w:val="Commarcadores"/>
        <w:numPr>
          <w:ilvl w:val="0"/>
          <w:numId w:val="0"/>
        </w:numPr>
        <w:shd w:val="clear" w:color="auto" w:fill="FFFFFF" w:themeFill="background1"/>
        <w:spacing w:before="240" w:after="120"/>
        <w:contextualSpacing w:val="0"/>
        <w:jc w:val="both"/>
        <w:rPr>
          <w:rFonts w:ascii="Georgia" w:hAnsi="Georgia"/>
          <w:b/>
        </w:rPr>
      </w:pPr>
      <w:r w:rsidRPr="002E7A99">
        <w:rPr>
          <w:rFonts w:ascii="Georgia" w:hAnsi="Georgia"/>
          <w:b/>
        </w:rPr>
        <w:t>Conselho Nacional da Seguridade Social</w:t>
      </w:r>
    </w:p>
    <w:p w:rsidR="00A811AE" w:rsidRDefault="003E1C23" w:rsidP="004C6CE8">
      <w:pPr>
        <w:pStyle w:val="Commarcadores"/>
        <w:numPr>
          <w:ilvl w:val="0"/>
          <w:numId w:val="0"/>
        </w:numPr>
        <w:shd w:val="clear" w:color="auto" w:fill="FFFFFF" w:themeFill="background1"/>
        <w:spacing w:before="240" w:after="120"/>
        <w:contextualSpacing w:val="0"/>
        <w:jc w:val="both"/>
        <w:rPr>
          <w:rFonts w:ascii="Georgia" w:hAnsi="Georgia"/>
        </w:rPr>
      </w:pPr>
      <w:r w:rsidRPr="002E7A99">
        <w:rPr>
          <w:rFonts w:ascii="Georgia" w:hAnsi="Georgia"/>
        </w:rPr>
        <w:t>Em segundo lugar, destaca-se o desrespeito aos mecanismos de controle social. Para fiscalizar e verificar se o Executivo organizou a SS de acordo com o previsto no artigo 194 e</w:t>
      </w:r>
      <w:r w:rsidR="00A811AE">
        <w:rPr>
          <w:rFonts w:ascii="Georgia" w:hAnsi="Georgia"/>
        </w:rPr>
        <w:t xml:space="preserve"> para que </w:t>
      </w:r>
      <w:r w:rsidRPr="002E7A99">
        <w:rPr>
          <w:rFonts w:ascii="Georgia" w:hAnsi="Georgia"/>
        </w:rPr>
        <w:t xml:space="preserve">os recursos do OSS não </w:t>
      </w:r>
      <w:r w:rsidR="009D1E50" w:rsidRPr="002E7A99">
        <w:rPr>
          <w:rFonts w:ascii="Georgia" w:hAnsi="Georgia"/>
        </w:rPr>
        <w:t>fossem</w:t>
      </w:r>
      <w:r w:rsidRPr="002E7A99">
        <w:rPr>
          <w:rFonts w:ascii="Georgia" w:hAnsi="Georgia"/>
        </w:rPr>
        <w:t xml:space="preserve"> desviados (artigo 195), a Constituição determin</w:t>
      </w:r>
      <w:r w:rsidR="00A811AE">
        <w:rPr>
          <w:rFonts w:ascii="Georgia" w:hAnsi="Georgia"/>
        </w:rPr>
        <w:t xml:space="preserve">ou </w:t>
      </w:r>
      <w:r w:rsidRPr="002E7A99">
        <w:rPr>
          <w:rFonts w:ascii="Georgia" w:hAnsi="Georgia"/>
        </w:rPr>
        <w:t>que o poder público deveria observar o "caráter democrático e descentralizado da gestão administrativa, com a participação da comunidade, em especial de trabalhadores, empresários e aposentados"</w:t>
      </w:r>
      <w:r w:rsidR="00A811AE">
        <w:rPr>
          <w:rFonts w:ascii="Georgia" w:hAnsi="Georgia"/>
        </w:rPr>
        <w:t>.</w:t>
      </w:r>
      <w:r w:rsidR="00A811AE">
        <w:rPr>
          <w:rStyle w:val="Refdenotaderodap"/>
          <w:rFonts w:ascii="Georgia" w:hAnsi="Georgia"/>
        </w:rPr>
        <w:footnoteReference w:id="16"/>
      </w:r>
      <w:r w:rsidRPr="002E7A99">
        <w:rPr>
          <w:rFonts w:ascii="Georgia" w:hAnsi="Georgia"/>
        </w:rPr>
        <w:t xml:space="preserve"> </w:t>
      </w:r>
    </w:p>
    <w:p w:rsidR="003E1C23" w:rsidRPr="002E7A99" w:rsidRDefault="003E1C23" w:rsidP="004C6CE8">
      <w:pPr>
        <w:pStyle w:val="Commarcadores"/>
        <w:numPr>
          <w:ilvl w:val="0"/>
          <w:numId w:val="0"/>
        </w:numPr>
        <w:shd w:val="clear" w:color="auto" w:fill="FFFFFF" w:themeFill="background1"/>
        <w:spacing w:before="240" w:after="120"/>
        <w:contextualSpacing w:val="0"/>
        <w:jc w:val="both"/>
        <w:rPr>
          <w:rFonts w:ascii="Georgia" w:hAnsi="Georgia"/>
        </w:rPr>
      </w:pPr>
      <w:r w:rsidRPr="002E7A99">
        <w:rPr>
          <w:rFonts w:ascii="Georgia" w:hAnsi="Georgia"/>
        </w:rPr>
        <w:t>A ideia era criar o Conselho Nacional da Seguridade Social (o que ocorreu com a Lei 8.212/91). Entretanto, esse conselho nunca foi constituído. E mais grave: em 2001 a MP 2.216-37 revogou os artigos da lei que o havia instituído. Fica minha pergunta aos juristas: uma medida provisória tem força legal para extirpar um dos núcleos centrais da organização da SS, determinado pela Constituição da República?</w:t>
      </w:r>
    </w:p>
    <w:p w:rsidR="003E1C23" w:rsidRPr="002E7A99" w:rsidRDefault="003E1C23" w:rsidP="004C6CE8">
      <w:pPr>
        <w:pStyle w:val="Commarcadores"/>
        <w:numPr>
          <w:ilvl w:val="0"/>
          <w:numId w:val="0"/>
        </w:numPr>
        <w:shd w:val="clear" w:color="auto" w:fill="FFFFFF" w:themeFill="background1"/>
        <w:spacing w:before="240" w:after="120"/>
        <w:contextualSpacing w:val="0"/>
        <w:jc w:val="both"/>
        <w:rPr>
          <w:rFonts w:ascii="Georgia" w:hAnsi="Georgia"/>
          <w:b/>
        </w:rPr>
      </w:pPr>
      <w:r w:rsidRPr="002E7A99">
        <w:rPr>
          <w:rFonts w:ascii="Georgia" w:hAnsi="Georgia"/>
          <w:b/>
        </w:rPr>
        <w:t xml:space="preserve">Orçamento da Seguridade Social </w:t>
      </w:r>
    </w:p>
    <w:p w:rsidR="003E1C23" w:rsidRPr="002E7A99" w:rsidRDefault="00F378C0" w:rsidP="004C6CE8">
      <w:pPr>
        <w:pStyle w:val="Commarcadores"/>
        <w:numPr>
          <w:ilvl w:val="0"/>
          <w:numId w:val="0"/>
        </w:numPr>
        <w:shd w:val="clear" w:color="auto" w:fill="FFFFFF" w:themeFill="background1"/>
        <w:spacing w:before="240" w:after="120"/>
        <w:contextualSpacing w:val="0"/>
        <w:jc w:val="both"/>
        <w:rPr>
          <w:rFonts w:ascii="Georgia" w:hAnsi="Georgia"/>
        </w:rPr>
      </w:pPr>
      <w:r w:rsidRPr="002E7A99">
        <w:rPr>
          <w:rFonts w:ascii="Georgia" w:hAnsi="Georgia"/>
        </w:rPr>
        <w:t xml:space="preserve">Para financiar a SS a Constituição introduziu o </w:t>
      </w:r>
      <w:r w:rsidR="00A811AE">
        <w:rPr>
          <w:rFonts w:ascii="Georgia" w:hAnsi="Georgia"/>
        </w:rPr>
        <w:t>O</w:t>
      </w:r>
      <w:r w:rsidRPr="002E7A99">
        <w:rPr>
          <w:rFonts w:ascii="Georgia" w:hAnsi="Georgia"/>
        </w:rPr>
        <w:t xml:space="preserve">rçamento da </w:t>
      </w:r>
      <w:r w:rsidR="00A811AE">
        <w:rPr>
          <w:rFonts w:ascii="Georgia" w:hAnsi="Georgia"/>
        </w:rPr>
        <w:t>S</w:t>
      </w:r>
      <w:r w:rsidRPr="002E7A99">
        <w:rPr>
          <w:rFonts w:ascii="Georgia" w:hAnsi="Georgia"/>
        </w:rPr>
        <w:t xml:space="preserve">eguridade </w:t>
      </w:r>
      <w:r w:rsidR="00A811AE">
        <w:rPr>
          <w:rFonts w:ascii="Georgia" w:hAnsi="Georgia"/>
        </w:rPr>
        <w:t>S</w:t>
      </w:r>
      <w:r w:rsidRPr="002E7A99">
        <w:rPr>
          <w:rFonts w:ascii="Georgia" w:hAnsi="Georgia"/>
        </w:rPr>
        <w:t xml:space="preserve">ocial (OSS), um conjunto de impostos gerais e contribuições de empregados e empregadores vinculados ao financiamento dos setores da saúde, previdência, assistência e seguro-desemprego (artigo 195). A segunda aparente inconstitucionalidade é que o Executivo jamais apresentou o OSS, rigorosamente como reza a Carta Magna. </w:t>
      </w:r>
    </w:p>
    <w:p w:rsidR="0024108E" w:rsidRPr="002E7A99" w:rsidRDefault="00F378C0" w:rsidP="004C6CE8">
      <w:pPr>
        <w:pStyle w:val="Commarcadores"/>
        <w:numPr>
          <w:ilvl w:val="0"/>
          <w:numId w:val="0"/>
        </w:numPr>
        <w:shd w:val="clear" w:color="auto" w:fill="FFFFFF" w:themeFill="background1"/>
        <w:spacing w:before="240" w:after="120"/>
        <w:contextualSpacing w:val="0"/>
        <w:jc w:val="both"/>
        <w:rPr>
          <w:rFonts w:ascii="Georgia" w:hAnsi="Georgia"/>
        </w:rPr>
      </w:pPr>
      <w:r w:rsidRPr="002E7A99">
        <w:rPr>
          <w:rFonts w:ascii="Georgia" w:hAnsi="Georgia"/>
        </w:rPr>
        <w:t>Em primeiro lugar, como mencionado, o ponto de partida são os planos de custeio e de benefício dos setores que integram a SS (artigo 59 do ADCT)</w:t>
      </w:r>
      <w:r w:rsidR="003E1C23" w:rsidRPr="002E7A99">
        <w:rPr>
          <w:rFonts w:ascii="Georgia" w:hAnsi="Georgia"/>
        </w:rPr>
        <w:t xml:space="preserve"> – um ponto de partida nunca observado</w:t>
      </w:r>
      <w:r w:rsidRPr="002E7A99">
        <w:rPr>
          <w:rFonts w:ascii="Georgia" w:hAnsi="Georgia"/>
        </w:rPr>
        <w:t xml:space="preserve">. </w:t>
      </w:r>
    </w:p>
    <w:p w:rsidR="00F378C0" w:rsidRPr="002E7A99" w:rsidRDefault="00F378C0" w:rsidP="004C6CE8">
      <w:pPr>
        <w:pStyle w:val="Commarcadores"/>
        <w:numPr>
          <w:ilvl w:val="0"/>
          <w:numId w:val="0"/>
        </w:numPr>
        <w:shd w:val="clear" w:color="auto" w:fill="FFFFFF" w:themeFill="background1"/>
        <w:spacing w:before="240" w:after="120"/>
        <w:contextualSpacing w:val="0"/>
        <w:jc w:val="both"/>
        <w:rPr>
          <w:rFonts w:ascii="Georgia" w:hAnsi="Georgia"/>
        </w:rPr>
      </w:pPr>
      <w:r w:rsidRPr="002E7A99">
        <w:rPr>
          <w:rFonts w:ascii="Georgia" w:hAnsi="Georgia"/>
        </w:rPr>
        <w:lastRenderedPageBreak/>
        <w:t>Em segundo lugar, uma vez consolidado o OSS, suas fontes e seus usos devem ser apresentados anualmente, numa peça única, visando à transparência e ao controle social</w:t>
      </w:r>
      <w:r w:rsidR="003E40AC" w:rsidRPr="002E7A99">
        <w:rPr>
          <w:rFonts w:ascii="Georgia" w:hAnsi="Georgia"/>
        </w:rPr>
        <w:t xml:space="preserve">. O </w:t>
      </w:r>
      <w:r w:rsidRPr="002E7A99">
        <w:rPr>
          <w:rFonts w:ascii="Georgia" w:hAnsi="Georgia"/>
        </w:rPr>
        <w:t xml:space="preserve">parágrafo 5.º do artigo 165 determina que a lei orçamentária anual compreende o orçamento fiscal, o orçamento das empresas estatais e o orçamento da seguridade social, "abrangendo todas as entidades e órgãos a ela vinculados, da administração direta ou indireta, bem como os fundos e fundações instituídos e mantidos pelo Poder Público". Esses preceitos constitucionais </w:t>
      </w:r>
      <w:r w:rsidR="00F93266" w:rsidRPr="002E7A99">
        <w:rPr>
          <w:rFonts w:ascii="Georgia" w:hAnsi="Georgia"/>
        </w:rPr>
        <w:t xml:space="preserve">também </w:t>
      </w:r>
      <w:r w:rsidRPr="002E7A99">
        <w:rPr>
          <w:rFonts w:ascii="Georgia" w:hAnsi="Georgia"/>
        </w:rPr>
        <w:t>não foram cumpridos, com rigor, pelo Executivo.</w:t>
      </w:r>
    </w:p>
    <w:p w:rsidR="00F93266" w:rsidRPr="002E7A99" w:rsidRDefault="00F93266" w:rsidP="004C6CE8">
      <w:pPr>
        <w:pStyle w:val="Commarcadores"/>
        <w:numPr>
          <w:ilvl w:val="0"/>
          <w:numId w:val="0"/>
        </w:numPr>
        <w:shd w:val="clear" w:color="auto" w:fill="FFFFFF" w:themeFill="background1"/>
        <w:spacing w:before="240" w:after="120"/>
        <w:contextualSpacing w:val="0"/>
        <w:jc w:val="both"/>
        <w:rPr>
          <w:rFonts w:ascii="Georgia" w:hAnsi="Georgia"/>
          <w:b/>
        </w:rPr>
      </w:pPr>
      <w:r w:rsidRPr="002E7A99">
        <w:rPr>
          <w:rFonts w:ascii="Georgia" w:hAnsi="Georgia"/>
          <w:b/>
        </w:rPr>
        <w:t xml:space="preserve">Captura de Recursos do Orçamento da Seguridade Social </w:t>
      </w:r>
    </w:p>
    <w:p w:rsidR="00F378C0" w:rsidRPr="002E7A99" w:rsidRDefault="00F378C0" w:rsidP="004C6CE8">
      <w:pPr>
        <w:pStyle w:val="Commarcadores"/>
        <w:numPr>
          <w:ilvl w:val="0"/>
          <w:numId w:val="0"/>
        </w:numPr>
        <w:shd w:val="clear" w:color="auto" w:fill="FFFFFF" w:themeFill="background1"/>
        <w:spacing w:before="240" w:after="120"/>
        <w:contextualSpacing w:val="0"/>
        <w:jc w:val="both"/>
        <w:rPr>
          <w:rFonts w:ascii="Georgia" w:hAnsi="Georgia"/>
        </w:rPr>
      </w:pPr>
      <w:r w:rsidRPr="002E7A99">
        <w:rPr>
          <w:rFonts w:ascii="Georgia" w:hAnsi="Georgia"/>
        </w:rPr>
        <w:t xml:space="preserve">A </w:t>
      </w:r>
      <w:r w:rsidR="00F93266" w:rsidRPr="002E7A99">
        <w:rPr>
          <w:rFonts w:ascii="Georgia" w:hAnsi="Georgia"/>
        </w:rPr>
        <w:t xml:space="preserve">quarta </w:t>
      </w:r>
      <w:r w:rsidRPr="002E7A99">
        <w:rPr>
          <w:rFonts w:ascii="Georgia" w:hAnsi="Georgia"/>
        </w:rPr>
        <w:t>aparente inconstitucionalidade é a captura dos recursos do OSS para outras finalidades não previstas na Carta de 88. Diversos estudos mostram que as contas do sistema sempre foram superavitárias</w:t>
      </w:r>
      <w:r w:rsidR="00A811AE">
        <w:rPr>
          <w:rFonts w:ascii="Georgia" w:hAnsi="Georgia"/>
        </w:rPr>
        <w:t xml:space="preserve"> e os recursos foram desviados para outras finalidades não previstas nos </w:t>
      </w:r>
      <w:r w:rsidRPr="002E7A99">
        <w:rPr>
          <w:rFonts w:ascii="Georgia" w:hAnsi="Georgia"/>
        </w:rPr>
        <w:t>artigos 194 e 195.</w:t>
      </w:r>
    </w:p>
    <w:p w:rsidR="00E31FF5" w:rsidRPr="002E7A99" w:rsidRDefault="00E31FF5" w:rsidP="004C6CE8">
      <w:pPr>
        <w:shd w:val="clear" w:color="auto" w:fill="FFFFFF" w:themeFill="background1"/>
        <w:tabs>
          <w:tab w:val="left" w:pos="2835"/>
          <w:tab w:val="left" w:pos="6379"/>
        </w:tabs>
        <w:spacing w:before="240" w:after="120"/>
        <w:jc w:val="both"/>
        <w:rPr>
          <w:rFonts w:ascii="Georgia" w:eastAsia="Arial Unicode MS" w:hAnsi="Georgia" w:cs="Arial"/>
          <w:color w:val="000000"/>
        </w:rPr>
      </w:pPr>
      <w:r w:rsidRPr="002E7A99">
        <w:rPr>
          <w:rFonts w:ascii="Georgia" w:eastAsia="Arial Unicode MS" w:hAnsi="Georgia" w:cs="Arial"/>
          <w:color w:val="000000"/>
        </w:rPr>
        <w:t xml:space="preserve">Porque os constituintes vincularam constitucionalmente recursos do OSS aos setores que compõem a Seguridade Social? Para evitar uma prática corrente na Ditadura Militar: a captura de fontes de financiamento do gasto social pela área econômica do governo. Naquela época, ao invés da política econômica financiar a política social, dava-se o inverso. </w:t>
      </w:r>
    </w:p>
    <w:p w:rsidR="00E31FF5" w:rsidRPr="002E7A99" w:rsidRDefault="00E31FF5" w:rsidP="004C6CE8">
      <w:pPr>
        <w:shd w:val="clear" w:color="auto" w:fill="FFFFFF" w:themeFill="background1"/>
        <w:spacing w:before="240" w:after="120"/>
        <w:jc w:val="both"/>
        <w:rPr>
          <w:rFonts w:ascii="Georgia" w:hAnsi="Georgia"/>
          <w:color w:val="000000"/>
        </w:rPr>
      </w:pPr>
      <w:r w:rsidRPr="002E7A99">
        <w:rPr>
          <w:rFonts w:ascii="Georgia" w:eastAsia="Arial Unicode MS" w:hAnsi="Georgia" w:cs="Arial"/>
          <w:color w:val="000000"/>
        </w:rPr>
        <w:t xml:space="preserve">Essa prática da Ditadura Militar foi sofisticada e aprofundada pelos governos democráticos desde 1989. </w:t>
      </w:r>
      <w:r w:rsidRPr="002E7A99">
        <w:rPr>
          <w:rFonts w:ascii="Georgia" w:hAnsi="Georgia"/>
          <w:color w:val="000000"/>
        </w:rPr>
        <w:t xml:space="preserve">Diversas medidas foram adotadas de forma inconstitucional visando a capturar os recursos constitucionais vinculados ao Orçamento da Seguridade Social para o financiamento de outros itens de gasto. </w:t>
      </w:r>
    </w:p>
    <w:p w:rsidR="00E31FF5" w:rsidRPr="002E7A99" w:rsidRDefault="00E31FF5" w:rsidP="004C6CE8">
      <w:pPr>
        <w:shd w:val="clear" w:color="auto" w:fill="FFFFFF" w:themeFill="background1"/>
        <w:spacing w:before="240" w:after="120"/>
        <w:jc w:val="both"/>
        <w:rPr>
          <w:rFonts w:ascii="Georgia" w:hAnsi="Georgia"/>
        </w:rPr>
      </w:pPr>
      <w:r w:rsidRPr="002E7A99">
        <w:rPr>
          <w:rFonts w:ascii="Georgia" w:hAnsi="Georgia"/>
          <w:color w:val="000000"/>
        </w:rPr>
        <w:t xml:space="preserve">Um caso exemplar do início desse </w:t>
      </w:r>
      <w:r w:rsidRPr="002E7A99">
        <w:rPr>
          <w:rFonts w:ascii="Georgia" w:hAnsi="Georgia" w:cs="Arial"/>
        </w:rPr>
        <w:t>processo contínuo de desfiguração, ao arrepio da Carta Magna, pode ser percebido pela utilização de r</w:t>
      </w:r>
      <w:r w:rsidRPr="002E7A99">
        <w:rPr>
          <w:rFonts w:ascii="Georgia" w:hAnsi="Georgia"/>
        </w:rPr>
        <w:t xml:space="preserve">ecursos do Orçamento da Seguridade Social, para pagar despesas com servidores inativos da União em 1989. </w:t>
      </w:r>
    </w:p>
    <w:p w:rsidR="00E31FF5" w:rsidRPr="002E7A99" w:rsidRDefault="00E31FF5" w:rsidP="004C6CE8">
      <w:pPr>
        <w:shd w:val="clear" w:color="auto" w:fill="FFFFFF" w:themeFill="background1"/>
        <w:spacing w:before="240" w:after="120"/>
        <w:jc w:val="both"/>
        <w:rPr>
          <w:rFonts w:ascii="Georgia" w:hAnsi="Georgia"/>
        </w:rPr>
      </w:pPr>
      <w:r w:rsidRPr="002E7A99">
        <w:rPr>
          <w:rFonts w:ascii="Georgia" w:hAnsi="Georgia"/>
        </w:rPr>
        <w:t xml:space="preserve">A previdência do servidor público não integra a seguridade social (ver artigo 194). Os pensionistas e segurados do serviço público sempre foram pagos com recursos do Tesouro Nacional (rubrica “Encargos Previdenciários da União, EPU”). </w:t>
      </w:r>
    </w:p>
    <w:p w:rsidR="00F93266" w:rsidRPr="002E7A99" w:rsidRDefault="00F93266" w:rsidP="004C6CE8">
      <w:pPr>
        <w:pStyle w:val="Commarcadores"/>
        <w:numPr>
          <w:ilvl w:val="0"/>
          <w:numId w:val="0"/>
        </w:numPr>
        <w:shd w:val="clear" w:color="auto" w:fill="FFFFFF" w:themeFill="background1"/>
        <w:spacing w:before="240" w:after="120"/>
        <w:contextualSpacing w:val="0"/>
        <w:jc w:val="both"/>
        <w:rPr>
          <w:rFonts w:ascii="Georgia" w:hAnsi="Georgia"/>
          <w:b/>
        </w:rPr>
      </w:pPr>
      <w:r w:rsidRPr="002E7A99">
        <w:rPr>
          <w:rFonts w:ascii="Georgia" w:hAnsi="Georgia"/>
          <w:b/>
        </w:rPr>
        <w:t xml:space="preserve">Forma de Contabilização das receitas da Previdência Social </w:t>
      </w:r>
    </w:p>
    <w:p w:rsidR="00172251" w:rsidRDefault="00F378C0" w:rsidP="004C6CE8">
      <w:pPr>
        <w:pStyle w:val="Commarcadores"/>
        <w:numPr>
          <w:ilvl w:val="0"/>
          <w:numId w:val="0"/>
        </w:numPr>
        <w:shd w:val="clear" w:color="auto" w:fill="FFFFFF" w:themeFill="background1"/>
        <w:spacing w:before="240" w:after="120"/>
        <w:contextualSpacing w:val="0"/>
        <w:jc w:val="both"/>
        <w:rPr>
          <w:rFonts w:ascii="Georgia" w:hAnsi="Georgia"/>
        </w:rPr>
      </w:pPr>
      <w:r w:rsidRPr="002E7A99">
        <w:rPr>
          <w:rFonts w:ascii="Georgia" w:hAnsi="Georgia"/>
        </w:rPr>
        <w:t>Outra aparente inconstitucionalidade é a forma de o Ministério da Previdência e Assistência Social apresentar os dados da Previdência, desde 1989. O órgão não considera a previdência como integrante da seguridade. Parte do princípio de que a folha de salário do trabalhador urbano deve cobrir o gasto com o INSS urbano e o rural. O resultado é um "rombo" na Previdência por causa do INSS rural - na medida em que</w:t>
      </w:r>
      <w:r w:rsidR="00172251">
        <w:rPr>
          <w:rFonts w:ascii="Georgia" w:hAnsi="Georgia"/>
        </w:rPr>
        <w:t xml:space="preserve">, com crescimento econômico, </w:t>
      </w:r>
      <w:r w:rsidRPr="002E7A99">
        <w:rPr>
          <w:rFonts w:ascii="Georgia" w:hAnsi="Georgia"/>
        </w:rPr>
        <w:t>a previdência urbana é superavitária</w:t>
      </w:r>
      <w:r w:rsidR="00172251">
        <w:rPr>
          <w:rFonts w:ascii="Georgia" w:hAnsi="Georgia"/>
        </w:rPr>
        <w:t xml:space="preserve"> apenas com a contribuição das empresas e a contribuição dos trabalhadores. </w:t>
      </w:r>
    </w:p>
    <w:p w:rsidR="00F378C0" w:rsidRPr="002E7A99" w:rsidRDefault="00172251" w:rsidP="004C6CE8">
      <w:pPr>
        <w:pStyle w:val="Commarcadores"/>
        <w:numPr>
          <w:ilvl w:val="0"/>
          <w:numId w:val="0"/>
        </w:numPr>
        <w:shd w:val="clear" w:color="auto" w:fill="FFFFFF" w:themeFill="background1"/>
        <w:spacing w:before="240" w:after="120"/>
        <w:contextualSpacing w:val="0"/>
        <w:jc w:val="both"/>
        <w:rPr>
          <w:rFonts w:ascii="Georgia" w:hAnsi="Georgia"/>
        </w:rPr>
      </w:pPr>
      <w:r>
        <w:rPr>
          <w:rFonts w:ascii="Georgia" w:hAnsi="Georgia"/>
        </w:rPr>
        <w:t xml:space="preserve">Os </w:t>
      </w:r>
      <w:r w:rsidR="00F378C0" w:rsidRPr="002E7A99">
        <w:rPr>
          <w:rFonts w:ascii="Georgia" w:hAnsi="Georgia"/>
        </w:rPr>
        <w:t>artigos 194 e 195 rezam que o INSS rural</w:t>
      </w:r>
      <w:r>
        <w:rPr>
          <w:rFonts w:ascii="Georgia" w:hAnsi="Georgia"/>
        </w:rPr>
        <w:t xml:space="preserve">, típico benefício da Seguridade Social, </w:t>
      </w:r>
      <w:r w:rsidR="00F378C0" w:rsidRPr="002E7A99">
        <w:rPr>
          <w:rFonts w:ascii="Georgia" w:hAnsi="Georgia"/>
        </w:rPr>
        <w:t>deve ser coberto pelas receitas de impostos (Cofins</w:t>
      </w:r>
      <w:r>
        <w:rPr>
          <w:rFonts w:ascii="Georgia" w:hAnsi="Georgia"/>
        </w:rPr>
        <w:t xml:space="preserve"> e </w:t>
      </w:r>
      <w:r w:rsidR="00F378C0" w:rsidRPr="002E7A99">
        <w:rPr>
          <w:rFonts w:ascii="Georgia" w:hAnsi="Georgia"/>
        </w:rPr>
        <w:t>CSLL)</w:t>
      </w:r>
      <w:r>
        <w:rPr>
          <w:rFonts w:ascii="Georgia" w:hAnsi="Georgia"/>
        </w:rPr>
        <w:t xml:space="preserve"> criadas em 1988. </w:t>
      </w:r>
      <w:r w:rsidR="00F378C0" w:rsidRPr="002E7A99">
        <w:rPr>
          <w:rFonts w:ascii="Georgia" w:hAnsi="Georgia"/>
        </w:rPr>
        <w:t xml:space="preserve">Ao apresentar "déficit" do INSS rural, o Ministério comete o mesmo equívoco de sentenciar o "rombo" das contas do Legislativo, do Judiciário e das </w:t>
      </w:r>
      <w:r w:rsidR="00F378C0" w:rsidRPr="002E7A99">
        <w:rPr>
          <w:rFonts w:ascii="Georgia" w:hAnsi="Georgia"/>
        </w:rPr>
        <w:lastRenderedPageBreak/>
        <w:t>Forças Armadas</w:t>
      </w:r>
      <w:r w:rsidR="00F93266" w:rsidRPr="002E7A99">
        <w:rPr>
          <w:rFonts w:ascii="Georgia" w:hAnsi="Georgia"/>
        </w:rPr>
        <w:t xml:space="preserve">, </w:t>
      </w:r>
      <w:r w:rsidR="00F378C0" w:rsidRPr="002E7A99">
        <w:rPr>
          <w:rFonts w:ascii="Georgia" w:hAnsi="Georgia"/>
        </w:rPr>
        <w:t>também financiadas por impostos</w:t>
      </w:r>
      <w:r w:rsidR="00F93266" w:rsidRPr="002E7A99">
        <w:rPr>
          <w:rFonts w:ascii="Georgia" w:hAnsi="Georgia"/>
        </w:rPr>
        <w:t xml:space="preserve"> gerais. A diferença é que no caso da </w:t>
      </w:r>
      <w:r w:rsidR="00AD44BD">
        <w:rPr>
          <w:rFonts w:ascii="Georgia" w:hAnsi="Georgia"/>
        </w:rPr>
        <w:t xml:space="preserve">Previdência, </w:t>
      </w:r>
      <w:r w:rsidR="00F93266" w:rsidRPr="002E7A99">
        <w:rPr>
          <w:rFonts w:ascii="Georgia" w:hAnsi="Georgia"/>
        </w:rPr>
        <w:t>há fontes de financiamento constitucionalmente asseguradas</w:t>
      </w:r>
      <w:r w:rsidR="00F378C0" w:rsidRPr="002E7A99">
        <w:rPr>
          <w:rFonts w:ascii="Georgia" w:hAnsi="Georgia"/>
        </w:rPr>
        <w:t>.</w:t>
      </w:r>
    </w:p>
    <w:p w:rsidR="00AD44BD" w:rsidRDefault="00AD44BD" w:rsidP="004C6CE8">
      <w:pPr>
        <w:pStyle w:val="Commarcadores"/>
        <w:numPr>
          <w:ilvl w:val="0"/>
          <w:numId w:val="0"/>
        </w:numPr>
        <w:shd w:val="clear" w:color="auto" w:fill="FFFFFF" w:themeFill="background1"/>
        <w:spacing w:before="240" w:after="120"/>
        <w:contextualSpacing w:val="0"/>
        <w:jc w:val="both"/>
        <w:rPr>
          <w:rFonts w:ascii="Georgia" w:hAnsi="Georgia"/>
          <w:b/>
        </w:rPr>
      </w:pPr>
      <w:r>
        <w:rPr>
          <w:rFonts w:ascii="Georgia" w:hAnsi="Georgia"/>
          <w:b/>
        </w:rPr>
        <w:t>“</w:t>
      </w:r>
      <w:r w:rsidR="00E31FF5" w:rsidRPr="002E7A99">
        <w:rPr>
          <w:rFonts w:ascii="Georgia" w:hAnsi="Georgia"/>
          <w:b/>
        </w:rPr>
        <w:t xml:space="preserve">A Seguridade Social </w:t>
      </w:r>
      <w:r>
        <w:rPr>
          <w:rFonts w:ascii="Georgia" w:hAnsi="Georgia"/>
          <w:b/>
        </w:rPr>
        <w:t>é Deficitária”: nova “contabilidade criativa”</w:t>
      </w:r>
    </w:p>
    <w:p w:rsidR="004E1407" w:rsidRDefault="00AD44BD" w:rsidP="004C6CE8">
      <w:pPr>
        <w:pStyle w:val="Commarcadores"/>
        <w:numPr>
          <w:ilvl w:val="0"/>
          <w:numId w:val="0"/>
        </w:numPr>
        <w:shd w:val="clear" w:color="auto" w:fill="FFFFFF" w:themeFill="background1"/>
        <w:spacing w:before="240" w:after="120"/>
        <w:contextualSpacing w:val="0"/>
        <w:jc w:val="both"/>
        <w:rPr>
          <w:rFonts w:ascii="Georgia" w:hAnsi="Georgia"/>
          <w:kern w:val="2"/>
          <w:lang w:eastAsia="ar-SA"/>
        </w:rPr>
      </w:pPr>
      <w:r w:rsidRPr="001D637A">
        <w:rPr>
          <w:rFonts w:ascii="Georgia" w:hAnsi="Georgia"/>
        </w:rPr>
        <w:t xml:space="preserve">Na era </w:t>
      </w:r>
      <w:r w:rsidR="00D8246F" w:rsidRPr="001D637A">
        <w:rPr>
          <w:rFonts w:ascii="Georgia" w:hAnsi="Georgia"/>
        </w:rPr>
        <w:t>da “pós-verdade”</w:t>
      </w:r>
      <w:r w:rsidRPr="001D637A">
        <w:rPr>
          <w:rFonts w:ascii="Georgia" w:hAnsi="Georgia"/>
        </w:rPr>
        <w:t xml:space="preserve">, cada um </w:t>
      </w:r>
      <w:r w:rsidR="00D8246F" w:rsidRPr="001D637A">
        <w:rPr>
          <w:rFonts w:ascii="Georgia" w:hAnsi="Georgia"/>
        </w:rPr>
        <w:t>inventa a sua, mesmo sem base científica,</w:t>
      </w:r>
      <w:r w:rsidR="00D8246F" w:rsidRPr="002E7A99">
        <w:rPr>
          <w:rFonts w:ascii="Georgia" w:hAnsi="Georgia"/>
        </w:rPr>
        <w:t xml:space="preserve"> sem amparo nos </w:t>
      </w:r>
      <w:r>
        <w:rPr>
          <w:rFonts w:ascii="Georgia" w:hAnsi="Georgia"/>
        </w:rPr>
        <w:t xml:space="preserve">dados e nas regras constitucionais. Em 2015, a </w:t>
      </w:r>
      <w:r w:rsidR="00D8246F" w:rsidRPr="002E7A99">
        <w:rPr>
          <w:rFonts w:ascii="Georgia" w:hAnsi="Georgia"/>
        </w:rPr>
        <w:t xml:space="preserve">área econômica do governo Dilma Rousseff </w:t>
      </w:r>
      <w:r>
        <w:rPr>
          <w:rFonts w:ascii="Georgia" w:hAnsi="Georgia"/>
        </w:rPr>
        <w:t xml:space="preserve">apresentou inédita “contabilidade criativa” para demonstrar que “a </w:t>
      </w:r>
      <w:r w:rsidR="00D8246F" w:rsidRPr="002E7A99">
        <w:rPr>
          <w:rFonts w:ascii="Georgia" w:hAnsi="Georgia"/>
        </w:rPr>
        <w:t>Seguridade Social é deficitária”</w:t>
      </w:r>
      <w:r w:rsidR="004E1407">
        <w:rPr>
          <w:rFonts w:ascii="Georgia" w:hAnsi="Georgia"/>
        </w:rPr>
        <w:t xml:space="preserve">. Segundo esses burocratas o </w:t>
      </w:r>
      <w:r w:rsidR="004E1407" w:rsidRPr="004E1407">
        <w:rPr>
          <w:rFonts w:ascii="Georgia" w:eastAsia="Calibri" w:hAnsi="Georgia"/>
          <w:lang w:eastAsia="ar-SA"/>
        </w:rPr>
        <w:t xml:space="preserve">"déficit" teria atingido R$167 bilhões (2015) porque o cálculo oficial, também ao arrepio da CF-88, passou a incluir as despesas relativas ao RPPS da União, civis e militares. </w:t>
      </w:r>
      <w:r w:rsidR="004E1407" w:rsidRPr="004E1407">
        <w:rPr>
          <w:rFonts w:ascii="Georgia" w:hAnsi="Georgia"/>
          <w:kern w:val="2"/>
          <w:lang w:eastAsia="ar-SA"/>
        </w:rPr>
        <w:t>Ocorre que a própria CF-88 trata esses Regimes como um segmento específico e distinto do RGPS</w:t>
      </w:r>
      <w:r w:rsidR="004E1407">
        <w:rPr>
          <w:rFonts w:ascii="Georgia" w:hAnsi="Georgia"/>
          <w:kern w:val="2"/>
          <w:lang w:eastAsia="ar-SA"/>
        </w:rPr>
        <w:t>, regido pelo artigo 40.</w:t>
      </w:r>
    </w:p>
    <w:p w:rsidR="004C6CE8" w:rsidRDefault="004C6CE8" w:rsidP="004C6CE8">
      <w:pPr>
        <w:pStyle w:val="Commarcadores"/>
        <w:numPr>
          <w:ilvl w:val="0"/>
          <w:numId w:val="0"/>
        </w:numPr>
        <w:shd w:val="clear" w:color="auto" w:fill="FFFFFF" w:themeFill="background1"/>
        <w:spacing w:before="240" w:after="120"/>
        <w:contextualSpacing w:val="0"/>
        <w:jc w:val="both"/>
        <w:rPr>
          <w:rFonts w:ascii="Georgia" w:hAnsi="Georgia"/>
          <w:kern w:val="2"/>
          <w:lang w:eastAsia="ar-SA"/>
        </w:rPr>
      </w:pPr>
    </w:p>
    <w:p w:rsidR="00E63593" w:rsidRPr="007E77BE" w:rsidRDefault="004C6CE8" w:rsidP="004C6CE8">
      <w:pPr>
        <w:pStyle w:val="PargrafodaLista"/>
        <w:numPr>
          <w:ilvl w:val="0"/>
          <w:numId w:val="42"/>
        </w:numPr>
        <w:spacing w:before="240" w:after="120"/>
        <w:ind w:left="0" w:firstLine="0"/>
        <w:contextualSpacing w:val="0"/>
        <w:jc w:val="both"/>
        <w:rPr>
          <w:rFonts w:asciiTheme="minorHAnsi" w:eastAsia="Calibri" w:hAnsiTheme="minorHAnsi" w:cstheme="minorHAnsi"/>
          <w:b/>
          <w:bCs/>
          <w:sz w:val="28"/>
        </w:rPr>
      </w:pPr>
      <w:r w:rsidRPr="007E77BE">
        <w:rPr>
          <w:rFonts w:asciiTheme="minorHAnsi" w:eastAsia="Calibri" w:hAnsiTheme="minorHAnsi" w:cstheme="minorHAnsi"/>
          <w:b/>
          <w:bCs/>
          <w:sz w:val="28"/>
        </w:rPr>
        <w:t xml:space="preserve">O "DÉFICIT" É EFEITO DE NÃO SE CONTABILIZAR COMO RECEITA DA PREVIDÊNCIA A CONTRIBUIÇÃO DO GOVERNO. </w:t>
      </w:r>
      <w:r w:rsidR="005C582C" w:rsidRPr="00D52AEF">
        <w:rPr>
          <w:rStyle w:val="Refdenotaderodap"/>
          <w:rFonts w:asciiTheme="minorHAnsi" w:hAnsiTheme="minorHAnsi" w:cstheme="minorHAnsi"/>
          <w:b/>
          <w:bCs/>
          <w:sz w:val="28"/>
        </w:rPr>
        <w:footnoteReference w:id="17"/>
      </w:r>
      <w:r w:rsidR="005C582C">
        <w:rPr>
          <w:rFonts w:asciiTheme="minorHAnsi" w:hAnsiTheme="minorHAnsi" w:cstheme="minorHAnsi"/>
          <w:b/>
          <w:sz w:val="28"/>
        </w:rPr>
        <w:t xml:space="preserve"> </w:t>
      </w:r>
    </w:p>
    <w:p w:rsidR="00E63593" w:rsidRDefault="00E63593" w:rsidP="004C6CE8">
      <w:pPr>
        <w:pStyle w:val="Commarcadores"/>
        <w:numPr>
          <w:ilvl w:val="0"/>
          <w:numId w:val="0"/>
        </w:numPr>
        <w:shd w:val="clear" w:color="auto" w:fill="FFFFFF" w:themeFill="background1"/>
        <w:spacing w:before="240" w:after="120"/>
        <w:contextualSpacing w:val="0"/>
        <w:jc w:val="both"/>
        <w:rPr>
          <w:rFonts w:ascii="Georgia" w:hAnsi="Georgia"/>
        </w:rPr>
      </w:pPr>
    </w:p>
    <w:p w:rsidR="004637C8" w:rsidRPr="004637C8" w:rsidRDefault="004637C8" w:rsidP="004C6CE8">
      <w:pPr>
        <w:spacing w:before="240" w:after="120"/>
        <w:jc w:val="both"/>
        <w:rPr>
          <w:rFonts w:ascii="Calibri" w:hAnsi="Calibri"/>
          <w:lang w:eastAsia="en-US"/>
        </w:rPr>
      </w:pPr>
      <w:r w:rsidRPr="004637C8">
        <w:rPr>
          <w:rFonts w:ascii="Georgia" w:eastAsia="Calibri" w:hAnsi="Georgia" w:cs="Georgia"/>
          <w:color w:val="000000"/>
          <w:lang w:eastAsia="en-US"/>
        </w:rPr>
        <w:t xml:space="preserve">A PEC 287 </w:t>
      </w:r>
      <w:r w:rsidR="007E77BE">
        <w:rPr>
          <w:rFonts w:ascii="Georgia" w:eastAsia="Calibri" w:hAnsi="Georgia" w:cs="Georgia"/>
          <w:color w:val="000000"/>
          <w:lang w:eastAsia="en-US"/>
        </w:rPr>
        <w:t xml:space="preserve">justifica-se com base na </w:t>
      </w:r>
      <w:r w:rsidRPr="004637C8">
        <w:rPr>
          <w:rFonts w:ascii="Georgia" w:eastAsia="Calibri" w:hAnsi="Georgia" w:cs="Georgia"/>
          <w:color w:val="000000"/>
          <w:lang w:eastAsia="en-US"/>
        </w:rPr>
        <w:t xml:space="preserve">premissa </w:t>
      </w:r>
      <w:r w:rsidR="007E77BE">
        <w:rPr>
          <w:rFonts w:ascii="Georgia" w:eastAsia="Calibri" w:hAnsi="Georgia" w:cs="Georgia"/>
          <w:color w:val="000000"/>
          <w:lang w:eastAsia="en-US"/>
        </w:rPr>
        <w:t>equivocada de que há “d</w:t>
      </w:r>
      <w:r w:rsidRPr="004637C8">
        <w:rPr>
          <w:rFonts w:ascii="Georgia" w:eastAsia="Calibri" w:hAnsi="Georgia" w:cs="Georgia"/>
          <w:color w:val="000000"/>
          <w:lang w:eastAsia="en-US"/>
        </w:rPr>
        <w:t>éficit</w:t>
      </w:r>
      <w:r w:rsidR="007E77BE">
        <w:rPr>
          <w:rFonts w:ascii="Georgia" w:eastAsia="Calibri" w:hAnsi="Georgia" w:cs="Georgia"/>
          <w:color w:val="000000"/>
          <w:lang w:eastAsia="en-US"/>
        </w:rPr>
        <w:t>”</w:t>
      </w:r>
      <w:r w:rsidRPr="004637C8">
        <w:rPr>
          <w:rFonts w:ascii="Georgia" w:eastAsia="Calibri" w:hAnsi="Georgia" w:cs="Georgia"/>
          <w:color w:val="000000"/>
          <w:lang w:eastAsia="en-US"/>
        </w:rPr>
        <w:t xml:space="preserve"> crescente no orçamento da Previdência e, se nada for feito de imediato, os gastos com os benefícios vão implodir as contas públicas, porque eles são os itens que mais pesam no gasto primário total do governo. </w:t>
      </w:r>
    </w:p>
    <w:p w:rsidR="004637C8" w:rsidRPr="004637C8" w:rsidRDefault="007E77BE" w:rsidP="004C6CE8">
      <w:pPr>
        <w:autoSpaceDE w:val="0"/>
        <w:autoSpaceDN w:val="0"/>
        <w:adjustRightInd w:val="0"/>
        <w:spacing w:before="240" w:after="120"/>
        <w:jc w:val="both"/>
        <w:rPr>
          <w:rFonts w:ascii="Georgia" w:eastAsia="Calibri" w:hAnsi="Georgia" w:cs="Georgia"/>
          <w:lang w:eastAsia="en-US"/>
        </w:rPr>
      </w:pPr>
      <w:r>
        <w:rPr>
          <w:rFonts w:ascii="Georgia" w:eastAsia="Calibri" w:hAnsi="Georgia" w:cs="Georgia"/>
          <w:lang w:eastAsia="en-US"/>
        </w:rPr>
        <w:t xml:space="preserve">Como mencionado, a </w:t>
      </w:r>
      <w:r w:rsidR="004637C8" w:rsidRPr="004637C8">
        <w:rPr>
          <w:rFonts w:ascii="Georgia" w:eastAsia="Calibri" w:hAnsi="Georgia" w:cs="Georgia"/>
          <w:lang w:eastAsia="en-US"/>
        </w:rPr>
        <w:t xml:space="preserve">Constituição Federal de 1988 (CF-88), no artigo 194, concebeu o direito à Previdência Social como parte integrante de amplo sistema de proteção social ao cidadão brasileiro – denominado Seguridade Social – junto com os direitos à Saúde, à Assistência Social e ao Seguro-Desemprego. Esse arranjo constitucional foi inspirado no modelo tripartite clássico, encontrado em grande parte dos países desenvolvidos da Europa, no qual trabalhadores, empregadores e Estado são igualmente responsáveis pelo financiamento das políticas públicas que integram seus sistemas nacionais de proteção. </w:t>
      </w:r>
    </w:p>
    <w:p w:rsidR="004637C8" w:rsidRPr="004637C8" w:rsidRDefault="004637C8" w:rsidP="004C6CE8">
      <w:pPr>
        <w:autoSpaceDE w:val="0"/>
        <w:autoSpaceDN w:val="0"/>
        <w:adjustRightInd w:val="0"/>
        <w:spacing w:before="240" w:after="120"/>
        <w:jc w:val="both"/>
        <w:rPr>
          <w:rFonts w:ascii="Georgia" w:eastAsia="Calibri" w:hAnsi="Georgia" w:cs="Georgia"/>
          <w:b/>
          <w:lang w:eastAsia="en-US"/>
        </w:rPr>
      </w:pPr>
      <w:r w:rsidRPr="004637C8">
        <w:rPr>
          <w:rFonts w:ascii="Georgia" w:eastAsia="Calibri" w:hAnsi="Georgia" w:cs="Georgia"/>
          <w:b/>
          <w:lang w:eastAsia="en-US"/>
        </w:rPr>
        <w:t>O modelo europeu de Seguridade Social</w:t>
      </w:r>
    </w:p>
    <w:p w:rsidR="004637C8" w:rsidRPr="004637C8" w:rsidRDefault="004637C8" w:rsidP="004C6CE8">
      <w:pPr>
        <w:spacing w:before="240" w:after="120"/>
        <w:jc w:val="both"/>
        <w:textAlignment w:val="baseline"/>
        <w:rPr>
          <w:rFonts w:ascii="Georgia" w:hAnsi="Georgia"/>
        </w:rPr>
      </w:pPr>
      <w:r w:rsidRPr="004637C8">
        <w:rPr>
          <w:rFonts w:ascii="Georgia" w:hAnsi="Georgia"/>
        </w:rPr>
        <w:t>Como mostra a</w:t>
      </w:r>
      <w:r w:rsidRPr="004637C8">
        <w:rPr>
          <w:rFonts w:ascii="Georgia" w:hAnsi="Georgia"/>
          <w:color w:val="943634"/>
        </w:rPr>
        <w:t xml:space="preserve"> Figura 1</w:t>
      </w:r>
      <w:r w:rsidRPr="004637C8">
        <w:rPr>
          <w:rFonts w:ascii="Georgia" w:hAnsi="Georgia"/>
        </w:rPr>
        <w:t xml:space="preserve">, a estrutura das despesas com a Proteção Social em 28 países da Europa, contemplou em 2012 um conjunto de benefícios e programas sociais muito semelhantes aos garantidos no Brasil pelo artigo 194 da CF-88. </w:t>
      </w:r>
    </w:p>
    <w:p w:rsidR="004637C8" w:rsidRPr="007E77BE" w:rsidRDefault="004637C8" w:rsidP="004637C8">
      <w:pPr>
        <w:spacing w:before="240"/>
        <w:textAlignment w:val="baseline"/>
        <w:rPr>
          <w:rFonts w:ascii="Georgia" w:hAnsi="Georgia"/>
          <w:sz w:val="22"/>
        </w:rPr>
      </w:pPr>
      <w:r w:rsidRPr="007E77BE">
        <w:rPr>
          <w:rFonts w:ascii="Georgia" w:hAnsi="Georgia"/>
          <w:sz w:val="22"/>
        </w:rPr>
        <w:t>FIGURA 1 – PROTEÇÃO SOCIAL NA OCDE (EU-28</w:t>
      </w:r>
      <w:r w:rsidR="009D1E50" w:rsidRPr="007E77BE">
        <w:rPr>
          <w:rFonts w:ascii="Georgia" w:hAnsi="Georgia"/>
          <w:sz w:val="22"/>
        </w:rPr>
        <w:t xml:space="preserve">) </w:t>
      </w:r>
      <w:r w:rsidRPr="007E77BE">
        <w:rPr>
          <w:rFonts w:ascii="Georgia" w:hAnsi="Georgia"/>
          <w:sz w:val="22"/>
        </w:rPr>
        <w:br/>
        <w:t>ESTRUTURA DA DESPESA</w:t>
      </w:r>
      <w:r w:rsidRPr="007E77BE">
        <w:rPr>
          <w:rFonts w:ascii="Georgia" w:hAnsi="Georgia"/>
          <w:sz w:val="22"/>
        </w:rPr>
        <w:br/>
      </w:r>
      <w:r w:rsidR="009D1E50" w:rsidRPr="007E77BE">
        <w:rPr>
          <w:rFonts w:ascii="Georgia" w:hAnsi="Georgia"/>
          <w:sz w:val="22"/>
        </w:rPr>
        <w:t xml:space="preserve"> (</w:t>
      </w:r>
      <w:r w:rsidRPr="007E77BE">
        <w:rPr>
          <w:rFonts w:ascii="Georgia" w:hAnsi="Georgia"/>
          <w:sz w:val="22"/>
        </w:rPr>
        <w:t>EM %</w:t>
      </w:r>
      <w:r w:rsidR="009D1E50" w:rsidRPr="007E77BE">
        <w:rPr>
          <w:rFonts w:ascii="Georgia" w:hAnsi="Georgia"/>
          <w:sz w:val="22"/>
        </w:rPr>
        <w:t xml:space="preserve">) </w:t>
      </w:r>
      <w:r w:rsidRPr="007E77BE">
        <w:rPr>
          <w:rFonts w:ascii="Georgia" w:hAnsi="Georgia"/>
          <w:sz w:val="22"/>
        </w:rPr>
        <w:br/>
        <w:t>2012</w:t>
      </w:r>
    </w:p>
    <w:p w:rsidR="004637C8" w:rsidRPr="004637C8" w:rsidRDefault="004637C8" w:rsidP="004637C8">
      <w:pPr>
        <w:spacing w:before="240"/>
        <w:textAlignment w:val="baseline"/>
        <w:rPr>
          <w:rFonts w:ascii="Georgia" w:hAnsi="Georgia"/>
        </w:rPr>
      </w:pPr>
      <w:r w:rsidRPr="004637C8">
        <w:rPr>
          <w:rFonts w:ascii="Georgia" w:hAnsi="Georgia"/>
          <w:noProof/>
          <w:sz w:val="20"/>
          <w:szCs w:val="20"/>
        </w:rPr>
        <w:lastRenderedPageBreak/>
        <w:drawing>
          <wp:inline distT="0" distB="0" distL="0" distR="0" wp14:anchorId="252113B0" wp14:editId="00FD0B80">
            <wp:extent cx="5351228" cy="2926080"/>
            <wp:effectExtent l="0" t="0" r="20955" b="26670"/>
            <wp:docPr id="3" name="Objet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W w:w="0" w:type="auto"/>
        <w:tblLayout w:type="fixed"/>
        <w:tblCellMar>
          <w:left w:w="70" w:type="dxa"/>
          <w:right w:w="70" w:type="dxa"/>
        </w:tblCellMar>
        <w:tblLook w:val="0000" w:firstRow="0" w:lastRow="0" w:firstColumn="0" w:lastColumn="0" w:noHBand="0" w:noVBand="0"/>
      </w:tblPr>
      <w:tblGrid>
        <w:gridCol w:w="2399"/>
        <w:gridCol w:w="960"/>
        <w:gridCol w:w="960"/>
        <w:gridCol w:w="959"/>
        <w:gridCol w:w="960"/>
        <w:gridCol w:w="959"/>
        <w:gridCol w:w="962"/>
      </w:tblGrid>
      <w:tr w:rsidR="004637C8" w:rsidRPr="007E77BE" w:rsidTr="004637C8">
        <w:trPr>
          <w:trHeight w:val="300"/>
        </w:trPr>
        <w:tc>
          <w:tcPr>
            <w:tcW w:w="2399" w:type="dxa"/>
            <w:shd w:val="clear" w:color="auto" w:fill="FFFFFF"/>
            <w:vAlign w:val="bottom"/>
          </w:tcPr>
          <w:p w:rsidR="004637C8" w:rsidRPr="007E77BE" w:rsidRDefault="004637C8" w:rsidP="004637C8">
            <w:pPr>
              <w:spacing w:before="100"/>
              <w:rPr>
                <w:rFonts w:ascii="Calibri" w:hAnsi="Calibri"/>
                <w:sz w:val="16"/>
                <w:szCs w:val="20"/>
                <w:lang w:eastAsia="en-US"/>
              </w:rPr>
            </w:pPr>
            <w:r w:rsidRPr="007E77BE">
              <w:rPr>
                <w:rFonts w:ascii="Georgia" w:hAnsi="Georgia"/>
                <w:color w:val="000000"/>
                <w:sz w:val="16"/>
                <w:szCs w:val="20"/>
              </w:rPr>
              <w:t>Fonte: Eurostat</w:t>
            </w:r>
          </w:p>
        </w:tc>
        <w:tc>
          <w:tcPr>
            <w:tcW w:w="960" w:type="dxa"/>
            <w:shd w:val="clear" w:color="auto" w:fill="FFFFFF"/>
            <w:vAlign w:val="bottom"/>
          </w:tcPr>
          <w:p w:rsidR="004637C8" w:rsidRPr="007E77BE" w:rsidRDefault="004637C8" w:rsidP="004637C8">
            <w:pPr>
              <w:spacing w:before="100"/>
              <w:rPr>
                <w:rFonts w:ascii="Georgia" w:hAnsi="Georgia"/>
                <w:color w:val="000000"/>
                <w:sz w:val="16"/>
                <w:szCs w:val="20"/>
              </w:rPr>
            </w:pPr>
          </w:p>
        </w:tc>
        <w:tc>
          <w:tcPr>
            <w:tcW w:w="960" w:type="dxa"/>
            <w:shd w:val="clear" w:color="auto" w:fill="FFFFFF"/>
            <w:vAlign w:val="bottom"/>
          </w:tcPr>
          <w:p w:rsidR="004637C8" w:rsidRPr="007E77BE" w:rsidRDefault="004637C8" w:rsidP="004637C8">
            <w:pPr>
              <w:spacing w:before="100"/>
              <w:rPr>
                <w:rFonts w:ascii="Georgia" w:hAnsi="Georgia"/>
                <w:sz w:val="16"/>
                <w:szCs w:val="20"/>
              </w:rPr>
            </w:pPr>
          </w:p>
        </w:tc>
        <w:tc>
          <w:tcPr>
            <w:tcW w:w="959" w:type="dxa"/>
            <w:shd w:val="clear" w:color="auto" w:fill="FFFFFF"/>
            <w:vAlign w:val="bottom"/>
          </w:tcPr>
          <w:p w:rsidR="004637C8" w:rsidRPr="007E77BE" w:rsidRDefault="004637C8" w:rsidP="004637C8">
            <w:pPr>
              <w:spacing w:before="100"/>
              <w:rPr>
                <w:rFonts w:ascii="Georgia" w:hAnsi="Georgia"/>
                <w:sz w:val="16"/>
                <w:szCs w:val="20"/>
              </w:rPr>
            </w:pPr>
          </w:p>
        </w:tc>
        <w:tc>
          <w:tcPr>
            <w:tcW w:w="960" w:type="dxa"/>
            <w:shd w:val="clear" w:color="auto" w:fill="FFFFFF"/>
            <w:vAlign w:val="bottom"/>
          </w:tcPr>
          <w:p w:rsidR="004637C8" w:rsidRPr="007E77BE" w:rsidRDefault="004637C8" w:rsidP="004637C8">
            <w:pPr>
              <w:spacing w:before="100"/>
              <w:rPr>
                <w:rFonts w:ascii="Georgia" w:hAnsi="Georgia"/>
                <w:sz w:val="16"/>
                <w:szCs w:val="20"/>
              </w:rPr>
            </w:pPr>
          </w:p>
        </w:tc>
        <w:tc>
          <w:tcPr>
            <w:tcW w:w="959" w:type="dxa"/>
            <w:shd w:val="clear" w:color="auto" w:fill="FFFFFF"/>
            <w:vAlign w:val="bottom"/>
          </w:tcPr>
          <w:p w:rsidR="004637C8" w:rsidRPr="007E77BE" w:rsidRDefault="004637C8" w:rsidP="004637C8">
            <w:pPr>
              <w:spacing w:before="100"/>
              <w:rPr>
                <w:rFonts w:ascii="Georgia" w:hAnsi="Georgia"/>
                <w:sz w:val="16"/>
                <w:szCs w:val="20"/>
              </w:rPr>
            </w:pPr>
          </w:p>
        </w:tc>
        <w:tc>
          <w:tcPr>
            <w:tcW w:w="962" w:type="dxa"/>
            <w:shd w:val="clear" w:color="auto" w:fill="FFFFFF"/>
            <w:vAlign w:val="bottom"/>
          </w:tcPr>
          <w:p w:rsidR="004637C8" w:rsidRPr="007E77BE" w:rsidRDefault="004637C8" w:rsidP="004637C8">
            <w:pPr>
              <w:spacing w:before="100"/>
              <w:rPr>
                <w:rFonts w:ascii="Georgia" w:hAnsi="Georgia"/>
                <w:sz w:val="16"/>
                <w:szCs w:val="20"/>
              </w:rPr>
            </w:pPr>
          </w:p>
        </w:tc>
      </w:tr>
    </w:tbl>
    <w:p w:rsidR="004637C8" w:rsidRPr="004637C8" w:rsidRDefault="004637C8" w:rsidP="004637C8">
      <w:pPr>
        <w:spacing w:before="100"/>
        <w:textAlignment w:val="baseline"/>
        <w:rPr>
          <w:rFonts w:ascii="Georgia" w:hAnsi="Georgia"/>
          <w:sz w:val="20"/>
        </w:rPr>
      </w:pPr>
    </w:p>
    <w:p w:rsidR="004637C8" w:rsidRPr="004637C8" w:rsidRDefault="004637C8" w:rsidP="004637C8">
      <w:pPr>
        <w:autoSpaceDE w:val="0"/>
        <w:autoSpaceDN w:val="0"/>
        <w:adjustRightInd w:val="0"/>
        <w:jc w:val="both"/>
        <w:rPr>
          <w:rFonts w:ascii="Georgia" w:hAnsi="Georgia"/>
        </w:rPr>
      </w:pPr>
      <w:r w:rsidRPr="004637C8">
        <w:rPr>
          <w:rFonts w:ascii="Georgia" w:eastAsia="Calibri" w:hAnsi="Georgia" w:cs="Georgia"/>
          <w:lang w:eastAsia="en-US"/>
        </w:rPr>
        <w:t xml:space="preserve">As semelhanças também são grandes no que diz respeito aos mecanismos de financiamento da Proteção Social. Num conjunto de 15 desses países, a participação média relativa do governo no financiamento da Seguridade Social, em 2015, foi de 45% do total, seguida pela contribuição dos empregadores (34,6%) e dos trabalhadores (18%) </w:t>
      </w:r>
      <w:r w:rsidRPr="004637C8">
        <w:rPr>
          <w:rFonts w:ascii="Georgia" w:eastAsia="Calibri" w:hAnsi="Georgia" w:cs="Georgia"/>
          <w:color w:val="943634"/>
          <w:lang w:eastAsia="en-US"/>
        </w:rPr>
        <w:t xml:space="preserve">(Figura 2). </w:t>
      </w:r>
      <w:r w:rsidRPr="004637C8">
        <w:rPr>
          <w:rFonts w:ascii="Georgia" w:hAnsi="Georgia"/>
        </w:rPr>
        <w:t>No caso extremo – o da Dinamarca – a participação relativa do governo atingiu 75,6% do total das despesas, seguida pela contribuição dos empregadores (11,5%) e dos trabalhadores (8,0%).</w:t>
      </w:r>
    </w:p>
    <w:p w:rsidR="004637C8" w:rsidRPr="004637C8" w:rsidRDefault="004637C8" w:rsidP="004637C8">
      <w:pPr>
        <w:textAlignment w:val="baseline"/>
        <w:rPr>
          <w:rFonts w:ascii="Georgia" w:hAnsi="Georgia" w:cstheme="minorHAnsi"/>
        </w:rPr>
      </w:pPr>
    </w:p>
    <w:p w:rsidR="004637C8" w:rsidRPr="004637C8" w:rsidRDefault="004637C8" w:rsidP="004637C8">
      <w:pPr>
        <w:textAlignment w:val="baseline"/>
        <w:rPr>
          <w:rFonts w:ascii="Georgia" w:hAnsi="Georgia" w:cstheme="minorHAnsi"/>
        </w:rPr>
      </w:pPr>
    </w:p>
    <w:p w:rsidR="004637C8" w:rsidRPr="004637C8" w:rsidRDefault="004637C8" w:rsidP="004637C8">
      <w:pPr>
        <w:textAlignment w:val="baseline"/>
        <w:rPr>
          <w:rFonts w:ascii="Georgia" w:hAnsi="Georgia" w:cstheme="minorHAnsi"/>
          <w:sz w:val="22"/>
        </w:rPr>
      </w:pPr>
      <w:r w:rsidRPr="004637C8">
        <w:rPr>
          <w:rFonts w:ascii="Georgia" w:hAnsi="Georgia" w:cstheme="minorHAnsi"/>
          <w:sz w:val="22"/>
        </w:rPr>
        <w:t>FIGURA 2 – FONTES DE RECEITA DA PROTEÇÃO SOCIAL NA OCDE (EU-15)</w:t>
      </w:r>
    </w:p>
    <w:p w:rsidR="004637C8" w:rsidRPr="004637C8" w:rsidRDefault="004637C8" w:rsidP="004637C8">
      <w:pPr>
        <w:textAlignment w:val="baseline"/>
        <w:rPr>
          <w:rFonts w:ascii="Georgia" w:hAnsi="Georgia" w:cstheme="minorHAnsi"/>
          <w:sz w:val="22"/>
        </w:rPr>
      </w:pPr>
      <w:r w:rsidRPr="004637C8">
        <w:rPr>
          <w:rFonts w:ascii="Georgia" w:hAnsi="Georgia" w:cstheme="minorHAnsi"/>
          <w:sz w:val="22"/>
        </w:rPr>
        <w:t>(PARTICIPAÇÃO %</w:t>
      </w:r>
      <w:r w:rsidR="009D1E50" w:rsidRPr="004637C8">
        <w:rPr>
          <w:rFonts w:ascii="Georgia" w:hAnsi="Georgia" w:cstheme="minorHAnsi"/>
          <w:sz w:val="22"/>
        </w:rPr>
        <w:t xml:space="preserve">) </w:t>
      </w:r>
      <w:r w:rsidRPr="004637C8">
        <w:rPr>
          <w:rFonts w:ascii="Georgia" w:hAnsi="Georgia" w:cstheme="minorHAnsi"/>
          <w:sz w:val="22"/>
        </w:rPr>
        <w:br/>
        <w:t>2012</w:t>
      </w:r>
    </w:p>
    <w:p w:rsidR="004637C8" w:rsidRPr="004637C8" w:rsidRDefault="004637C8" w:rsidP="004637C8">
      <w:pPr>
        <w:autoSpaceDE w:val="0"/>
        <w:autoSpaceDN w:val="0"/>
        <w:adjustRightInd w:val="0"/>
        <w:rPr>
          <w:rFonts w:ascii="Georgia" w:hAnsi="Georgia"/>
        </w:rPr>
      </w:pPr>
    </w:p>
    <w:p w:rsidR="004637C8" w:rsidRPr="004637C8" w:rsidRDefault="004637C8" w:rsidP="004637C8">
      <w:pPr>
        <w:autoSpaceDE w:val="0"/>
        <w:autoSpaceDN w:val="0"/>
        <w:adjustRightInd w:val="0"/>
        <w:rPr>
          <w:rFonts w:ascii="Georgia" w:hAnsi="Georgia"/>
        </w:rPr>
      </w:pPr>
      <w:r w:rsidRPr="004637C8">
        <w:rPr>
          <w:rFonts w:ascii="Calibri" w:hAnsi="Calibri"/>
          <w:noProof/>
          <w:sz w:val="14"/>
          <w:szCs w:val="20"/>
        </w:rPr>
        <w:lastRenderedPageBreak/>
        <w:drawing>
          <wp:inline distT="0" distB="0" distL="0" distR="0" wp14:anchorId="7F39B9F7" wp14:editId="64A0425F">
            <wp:extent cx="5534108" cy="4071068"/>
            <wp:effectExtent l="0" t="0" r="9525" b="24765"/>
            <wp:docPr id="4"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637C8" w:rsidRPr="004637C8" w:rsidRDefault="00146E78" w:rsidP="004637C8">
      <w:pPr>
        <w:autoSpaceDE w:val="0"/>
        <w:autoSpaceDN w:val="0"/>
        <w:adjustRightInd w:val="0"/>
        <w:rPr>
          <w:rFonts w:ascii="Georgia" w:eastAsia="Calibri" w:hAnsi="Georgia" w:cs="Georgia"/>
          <w:sz w:val="23"/>
          <w:szCs w:val="23"/>
          <w:lang w:eastAsia="en-US"/>
        </w:rPr>
      </w:pPr>
      <w:r w:rsidRPr="004637C8">
        <w:rPr>
          <w:rFonts w:ascii="Georgia" w:hAnsi="Georgia"/>
          <w:color w:val="000000"/>
          <w:sz w:val="18"/>
          <w:szCs w:val="20"/>
        </w:rPr>
        <w:t>FONTE: EUROSTAT</w:t>
      </w:r>
    </w:p>
    <w:p w:rsidR="00146E78" w:rsidRPr="004637C8" w:rsidRDefault="00146E78" w:rsidP="00146E78">
      <w:pPr>
        <w:autoSpaceDE w:val="0"/>
        <w:autoSpaceDN w:val="0"/>
        <w:adjustRightInd w:val="0"/>
        <w:jc w:val="both"/>
        <w:rPr>
          <w:rFonts w:ascii="Georgia" w:eastAsia="Calibri" w:hAnsi="Georgia" w:cs="Georgia"/>
          <w:lang w:eastAsia="en-US"/>
        </w:rPr>
      </w:pPr>
      <w:r>
        <w:rPr>
          <w:rFonts w:asciiTheme="minorHAnsi" w:hAnsiTheme="minorHAnsi" w:cstheme="minorHAnsi"/>
          <w:sz w:val="18"/>
          <w:szCs w:val="18"/>
        </w:rPr>
        <w:t xml:space="preserve">Elaboração: </w:t>
      </w:r>
      <w:r w:rsidRPr="00146E78">
        <w:rPr>
          <w:rFonts w:asciiTheme="minorHAnsi" w:hAnsiTheme="minorHAnsi" w:cstheme="minorHAnsi"/>
          <w:b/>
          <w:sz w:val="18"/>
          <w:szCs w:val="18"/>
        </w:rPr>
        <w:t>PREVIDÊNCIA: REFORMAR PARA EXCLUIR? (2017).</w:t>
      </w:r>
    </w:p>
    <w:p w:rsidR="004637C8" w:rsidRPr="004637C8" w:rsidRDefault="004637C8" w:rsidP="004637C8">
      <w:pPr>
        <w:autoSpaceDE w:val="0"/>
        <w:autoSpaceDN w:val="0"/>
        <w:adjustRightInd w:val="0"/>
        <w:rPr>
          <w:rFonts w:ascii="Georgia" w:eastAsia="Calibri" w:hAnsi="Georgia" w:cs="Georgia"/>
          <w:sz w:val="23"/>
          <w:szCs w:val="23"/>
          <w:lang w:eastAsia="en-US"/>
        </w:rPr>
      </w:pPr>
    </w:p>
    <w:p w:rsidR="004637C8" w:rsidRPr="004637C8" w:rsidRDefault="004637C8" w:rsidP="004637C8">
      <w:pPr>
        <w:spacing w:before="240"/>
        <w:jc w:val="both"/>
        <w:textAlignment w:val="baseline"/>
        <w:rPr>
          <w:rFonts w:ascii="Georgia" w:hAnsi="Georgia"/>
        </w:rPr>
      </w:pPr>
      <w:r w:rsidRPr="004637C8">
        <w:rPr>
          <w:rFonts w:ascii="Georgia" w:hAnsi="Georgia"/>
          <w:lang w:eastAsia="en-US"/>
        </w:rPr>
        <w:t xml:space="preserve">Já como proporção do PIB, verifica-se que, em média, o gasto desses 15 países com a Seguridade Social correspondeu a 30% da riqueza nacional, em 2015, que é valor muito superior à média brasileira, da ordem de 7,5% do PIB </w:t>
      </w:r>
      <w:r w:rsidRPr="004637C8">
        <w:rPr>
          <w:rFonts w:ascii="Georgia" w:hAnsi="Georgia"/>
          <w:color w:val="C00000"/>
          <w:lang w:eastAsia="en-US"/>
        </w:rPr>
        <w:t xml:space="preserve">(Figura 3). </w:t>
      </w:r>
      <w:r w:rsidRPr="004637C8">
        <w:rPr>
          <w:rFonts w:ascii="Georgia" w:hAnsi="Georgia"/>
          <w:lang w:eastAsia="en-US"/>
        </w:rPr>
        <w:t xml:space="preserve">Além disto, observa-se que a participação do governo no financiamento desse gasto (através de impostos gerais pagos pela sociedade) representa, em média, 13% do PIB (quase a metade dos gastos totais) desses países, seguida pela participação dos </w:t>
      </w:r>
      <w:r w:rsidRPr="004637C8">
        <w:rPr>
          <w:rFonts w:ascii="Georgia" w:hAnsi="Georgia"/>
        </w:rPr>
        <w:t xml:space="preserve">empregadores (9,7% do PIB) e dos trabalhadores (3,0% do PIB). </w:t>
      </w:r>
    </w:p>
    <w:p w:rsidR="004637C8" w:rsidRPr="004637C8" w:rsidRDefault="004637C8" w:rsidP="004637C8">
      <w:pPr>
        <w:spacing w:before="240"/>
        <w:jc w:val="both"/>
        <w:textAlignment w:val="baseline"/>
        <w:rPr>
          <w:rFonts w:ascii="Georgia" w:eastAsia="Calibri" w:hAnsi="Georgia" w:cs="Georgia"/>
          <w:lang w:eastAsia="en-US"/>
        </w:rPr>
      </w:pPr>
      <w:r w:rsidRPr="004637C8">
        <w:rPr>
          <w:rFonts w:ascii="Georgia" w:hAnsi="Georgia"/>
        </w:rPr>
        <w:t xml:space="preserve">No caso extremo da Dinamarca, a participação relativa do governo atinge 28,2% do PIB, seguida pela participação dos empregadores (4,3% do PIB) e dos trabalhadores (5,4% do PIB). </w:t>
      </w:r>
      <w:r w:rsidRPr="004637C8">
        <w:rPr>
          <w:rFonts w:ascii="Georgia" w:eastAsia="Calibri" w:hAnsi="Georgia" w:cs="Georgia"/>
          <w:lang w:eastAsia="en-US"/>
        </w:rPr>
        <w:t>Isto quer dizer que se não fossem contabilizadas as receitas dos impostos gerais pagos por toda a sociedade, o rombo da Previdência dinamarquesa chegaria a 28,5% do total de riqueza produzida pelos cidadãos daquele país.</w:t>
      </w:r>
    </w:p>
    <w:p w:rsidR="004637C8" w:rsidRPr="004637C8" w:rsidRDefault="004637C8" w:rsidP="004637C8">
      <w:pPr>
        <w:spacing w:before="240"/>
        <w:textAlignment w:val="baseline"/>
        <w:rPr>
          <w:rFonts w:ascii="Georgia" w:hAnsi="Georgia"/>
        </w:rPr>
      </w:pPr>
    </w:p>
    <w:p w:rsidR="004637C8" w:rsidRPr="004637C8" w:rsidRDefault="004637C8" w:rsidP="004637C8">
      <w:pPr>
        <w:textAlignment w:val="baseline"/>
        <w:rPr>
          <w:rFonts w:ascii="Georgia" w:hAnsi="Georgia" w:cstheme="minorHAnsi"/>
          <w:sz w:val="22"/>
        </w:rPr>
      </w:pPr>
      <w:r w:rsidRPr="004637C8">
        <w:rPr>
          <w:rFonts w:ascii="Georgia" w:hAnsi="Georgia" w:cstheme="minorHAnsi"/>
          <w:sz w:val="22"/>
        </w:rPr>
        <w:t>FIGURA 3 – FONTES DE RECEITA DA PROTEÇÃO SOCIAL NA OCDE (EU-15)</w:t>
      </w:r>
    </w:p>
    <w:p w:rsidR="004637C8" w:rsidRPr="004637C8" w:rsidRDefault="004637C8" w:rsidP="004637C8">
      <w:pPr>
        <w:textAlignment w:val="baseline"/>
        <w:rPr>
          <w:rFonts w:ascii="Georgia" w:hAnsi="Georgia"/>
          <w:sz w:val="22"/>
        </w:rPr>
      </w:pPr>
      <w:r w:rsidRPr="004637C8">
        <w:rPr>
          <w:rFonts w:ascii="Georgia" w:hAnsi="Georgia" w:cstheme="minorHAnsi"/>
          <w:sz w:val="22"/>
        </w:rPr>
        <w:t>(EM % DO PIB</w:t>
      </w:r>
      <w:r w:rsidR="009D1E50" w:rsidRPr="004637C8">
        <w:rPr>
          <w:rFonts w:ascii="Georgia" w:hAnsi="Georgia" w:cstheme="minorHAnsi"/>
          <w:sz w:val="22"/>
        </w:rPr>
        <w:t xml:space="preserve">) </w:t>
      </w:r>
      <w:r w:rsidRPr="004637C8">
        <w:rPr>
          <w:rFonts w:ascii="Georgia" w:hAnsi="Georgia" w:cstheme="minorHAnsi"/>
          <w:sz w:val="22"/>
        </w:rPr>
        <w:br/>
      </w:r>
      <w:r w:rsidRPr="004637C8">
        <w:rPr>
          <w:rFonts w:ascii="Georgia" w:hAnsi="Georgia"/>
          <w:sz w:val="22"/>
        </w:rPr>
        <w:t>2012</w:t>
      </w:r>
    </w:p>
    <w:p w:rsidR="004637C8" w:rsidRPr="004637C8" w:rsidRDefault="004637C8" w:rsidP="004637C8">
      <w:pPr>
        <w:shd w:val="clear" w:color="auto" w:fill="FFFFFF"/>
        <w:spacing w:before="240"/>
        <w:jc w:val="both"/>
        <w:rPr>
          <w:rFonts w:ascii="Georgia" w:hAnsi="Georgia"/>
          <w:lang w:eastAsia="en-US"/>
        </w:rPr>
      </w:pPr>
      <w:r w:rsidRPr="004637C8">
        <w:rPr>
          <w:rFonts w:ascii="Calibri" w:hAnsi="Calibri"/>
          <w:noProof/>
          <w:color w:val="FFFFFF" w:themeColor="background1"/>
          <w:sz w:val="20"/>
          <w:szCs w:val="20"/>
        </w:rPr>
        <w:lastRenderedPageBreak/>
        <w:drawing>
          <wp:inline distT="0" distB="0" distL="0" distR="0" wp14:anchorId="42F34B5D" wp14:editId="0A9F0029">
            <wp:extent cx="5581816" cy="4190338"/>
            <wp:effectExtent l="0" t="0" r="19050" b="20320"/>
            <wp:docPr id="5"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637C8" w:rsidRPr="009A16E5" w:rsidRDefault="004637C8" w:rsidP="004637C8">
      <w:pPr>
        <w:shd w:val="clear" w:color="auto" w:fill="FFFFFF"/>
        <w:spacing w:before="240"/>
        <w:jc w:val="both"/>
        <w:rPr>
          <w:rFonts w:ascii="Calibri" w:hAnsi="Calibri"/>
          <w:sz w:val="18"/>
          <w:szCs w:val="20"/>
          <w:lang w:eastAsia="en-US"/>
        </w:rPr>
      </w:pPr>
      <w:r w:rsidRPr="009A16E5">
        <w:rPr>
          <w:rFonts w:ascii="Georgia" w:hAnsi="Georgia"/>
          <w:color w:val="000000"/>
          <w:sz w:val="14"/>
          <w:szCs w:val="20"/>
        </w:rPr>
        <w:t>FONTE: EUROSTAT</w:t>
      </w:r>
    </w:p>
    <w:p w:rsidR="00146E78" w:rsidRPr="004637C8" w:rsidRDefault="00146E78" w:rsidP="00146E78">
      <w:pPr>
        <w:autoSpaceDE w:val="0"/>
        <w:autoSpaceDN w:val="0"/>
        <w:adjustRightInd w:val="0"/>
        <w:jc w:val="both"/>
        <w:rPr>
          <w:rFonts w:ascii="Georgia" w:eastAsia="Calibri" w:hAnsi="Georgia" w:cs="Georgia"/>
          <w:lang w:eastAsia="en-US"/>
        </w:rPr>
      </w:pPr>
      <w:r>
        <w:rPr>
          <w:rFonts w:asciiTheme="minorHAnsi" w:hAnsiTheme="minorHAnsi" w:cstheme="minorHAnsi"/>
          <w:sz w:val="18"/>
          <w:szCs w:val="18"/>
        </w:rPr>
        <w:t xml:space="preserve">Elaboração: </w:t>
      </w:r>
      <w:r w:rsidRPr="00146E78">
        <w:rPr>
          <w:rFonts w:asciiTheme="minorHAnsi" w:hAnsiTheme="minorHAnsi" w:cstheme="minorHAnsi"/>
          <w:b/>
          <w:sz w:val="18"/>
          <w:szCs w:val="18"/>
        </w:rPr>
        <w:t>PREVIDÊNCIA: REFORMAR PARA EXCLUIR? (2017).</w:t>
      </w:r>
    </w:p>
    <w:p w:rsidR="004637C8" w:rsidRPr="004637C8" w:rsidRDefault="004637C8" w:rsidP="004637C8">
      <w:pPr>
        <w:autoSpaceDE w:val="0"/>
        <w:autoSpaceDN w:val="0"/>
        <w:adjustRightInd w:val="0"/>
        <w:rPr>
          <w:rFonts w:ascii="Georgia" w:eastAsia="Calibri" w:hAnsi="Georgia" w:cs="Georgia"/>
          <w:sz w:val="23"/>
          <w:szCs w:val="23"/>
          <w:lang w:eastAsia="en-US"/>
        </w:rPr>
      </w:pPr>
    </w:p>
    <w:p w:rsidR="004637C8" w:rsidRPr="004637C8" w:rsidRDefault="004637C8" w:rsidP="004637C8">
      <w:pPr>
        <w:autoSpaceDE w:val="0"/>
        <w:autoSpaceDN w:val="0"/>
        <w:adjustRightInd w:val="0"/>
        <w:rPr>
          <w:rFonts w:ascii="Georgia" w:eastAsia="Calibri" w:hAnsi="Georgia" w:cs="Georgia"/>
          <w:sz w:val="23"/>
          <w:szCs w:val="23"/>
          <w:lang w:eastAsia="en-US"/>
        </w:rPr>
      </w:pPr>
    </w:p>
    <w:p w:rsidR="004637C8" w:rsidRPr="004637C8" w:rsidRDefault="004637C8" w:rsidP="004637C8">
      <w:pPr>
        <w:autoSpaceDE w:val="0"/>
        <w:autoSpaceDN w:val="0"/>
        <w:adjustRightInd w:val="0"/>
        <w:rPr>
          <w:rFonts w:ascii="Georgia" w:eastAsia="Calibri" w:hAnsi="Georgia" w:cs="Georgia"/>
          <w:b/>
          <w:lang w:eastAsia="en-US"/>
        </w:rPr>
      </w:pPr>
      <w:r w:rsidRPr="004637C8">
        <w:rPr>
          <w:rFonts w:ascii="Georgia" w:eastAsia="Calibri" w:hAnsi="Georgia" w:cs="Georgia"/>
          <w:b/>
          <w:lang w:eastAsia="en-US"/>
        </w:rPr>
        <w:t>O modelo europeu de Seguridade Social inspirou os Constituintes de 1988</w:t>
      </w:r>
    </w:p>
    <w:p w:rsidR="004637C8" w:rsidRPr="004637C8" w:rsidRDefault="004637C8" w:rsidP="004637C8">
      <w:pPr>
        <w:autoSpaceDE w:val="0"/>
        <w:autoSpaceDN w:val="0"/>
        <w:adjustRightInd w:val="0"/>
        <w:jc w:val="both"/>
        <w:rPr>
          <w:rFonts w:ascii="Georgia" w:eastAsia="Calibri" w:hAnsi="Georgia" w:cs="Georgia"/>
          <w:lang w:eastAsia="en-US"/>
        </w:rPr>
      </w:pPr>
    </w:p>
    <w:p w:rsidR="004637C8" w:rsidRPr="004637C8" w:rsidRDefault="004637C8" w:rsidP="004637C8">
      <w:pPr>
        <w:autoSpaceDE w:val="0"/>
        <w:autoSpaceDN w:val="0"/>
        <w:adjustRightInd w:val="0"/>
        <w:jc w:val="both"/>
        <w:rPr>
          <w:rFonts w:ascii="Georgia" w:eastAsia="Calibri" w:hAnsi="Georgia" w:cs="Georgia"/>
          <w:lang w:eastAsia="en-US"/>
        </w:rPr>
      </w:pPr>
      <w:r w:rsidRPr="004637C8">
        <w:rPr>
          <w:rFonts w:ascii="Georgia" w:eastAsia="Calibri" w:hAnsi="Georgia" w:cs="Georgia"/>
          <w:lang w:eastAsia="en-US"/>
        </w:rPr>
        <w:t>Com base neste modelo europeu, o artigo 195 da CF-88 institui o Orçamento da Seguridade Social como peça composta pelas seguintes fontes de receitas</w:t>
      </w:r>
      <w:r w:rsidR="009A16E5">
        <w:rPr>
          <w:rFonts w:ascii="Georgia" w:eastAsia="Calibri" w:hAnsi="Georgia" w:cs="Georgia"/>
          <w:lang w:eastAsia="en-US"/>
        </w:rPr>
        <w:t xml:space="preserve"> </w:t>
      </w:r>
      <w:r w:rsidR="009A16E5">
        <w:rPr>
          <w:rStyle w:val="Refdenotaderodap"/>
          <w:rFonts w:ascii="Georgia" w:eastAsia="Calibri" w:hAnsi="Georgia"/>
          <w:lang w:eastAsia="en-US"/>
        </w:rPr>
        <w:footnoteReference w:id="18"/>
      </w:r>
      <w:r w:rsidRPr="004637C8">
        <w:rPr>
          <w:rFonts w:ascii="Georgia" w:eastAsia="Calibri" w:hAnsi="Georgia" w:cs="Georgia"/>
          <w:lang w:eastAsia="en-US"/>
        </w:rPr>
        <w:t xml:space="preserve">: </w:t>
      </w:r>
    </w:p>
    <w:p w:rsidR="004637C8" w:rsidRPr="004637C8" w:rsidRDefault="004637C8" w:rsidP="004637C8">
      <w:pPr>
        <w:autoSpaceDE w:val="0"/>
        <w:autoSpaceDN w:val="0"/>
        <w:adjustRightInd w:val="0"/>
        <w:jc w:val="both"/>
        <w:rPr>
          <w:rFonts w:ascii="Georgia" w:eastAsia="Calibri" w:hAnsi="Georgia" w:cs="Georgia"/>
          <w:lang w:eastAsia="en-US"/>
        </w:rPr>
      </w:pPr>
    </w:p>
    <w:p w:rsidR="004637C8" w:rsidRPr="004637C8" w:rsidRDefault="004637C8" w:rsidP="009A16E5">
      <w:pPr>
        <w:numPr>
          <w:ilvl w:val="0"/>
          <w:numId w:val="45"/>
        </w:numPr>
        <w:autoSpaceDE w:val="0"/>
        <w:autoSpaceDN w:val="0"/>
        <w:adjustRightInd w:val="0"/>
        <w:spacing w:before="120" w:after="120"/>
        <w:ind w:left="0" w:firstLine="0"/>
        <w:jc w:val="both"/>
        <w:rPr>
          <w:rFonts w:ascii="Georgia" w:eastAsia="Calibri" w:hAnsi="Georgia"/>
          <w:highlight w:val="yellow"/>
          <w:lang w:eastAsia="en-US"/>
        </w:rPr>
      </w:pPr>
      <w:r w:rsidRPr="004637C8">
        <w:rPr>
          <w:rFonts w:ascii="Georgia" w:eastAsia="Calibri" w:hAnsi="Georgia" w:cs="Georgia"/>
          <w:lang w:eastAsia="en-US"/>
        </w:rPr>
        <w:t xml:space="preserve">Contribuições previdenciárias para o RGPS, pagas pelos empregados e pelas empresas sobre a folha de salários ou sobre a receita bruta de vendas; </w:t>
      </w:r>
    </w:p>
    <w:p w:rsidR="004637C8" w:rsidRPr="004637C8" w:rsidRDefault="004637C8" w:rsidP="009A16E5">
      <w:pPr>
        <w:numPr>
          <w:ilvl w:val="0"/>
          <w:numId w:val="45"/>
        </w:numPr>
        <w:autoSpaceDE w:val="0"/>
        <w:autoSpaceDN w:val="0"/>
        <w:adjustRightInd w:val="0"/>
        <w:spacing w:before="120" w:after="120"/>
        <w:ind w:left="0" w:firstLine="0"/>
        <w:jc w:val="both"/>
        <w:rPr>
          <w:rFonts w:ascii="Georgia" w:eastAsia="Calibri" w:hAnsi="Georgia"/>
          <w:lang w:eastAsia="en-US"/>
        </w:rPr>
      </w:pPr>
      <w:r w:rsidRPr="004637C8">
        <w:rPr>
          <w:rFonts w:ascii="Georgia" w:eastAsia="Calibri" w:hAnsi="Georgia"/>
          <w:lang w:eastAsia="en-US"/>
        </w:rPr>
        <w:t>Contribuição Social sobre o Lucro Líquido das Empresas (CSLL);</w:t>
      </w:r>
    </w:p>
    <w:p w:rsidR="004637C8" w:rsidRPr="004637C8" w:rsidRDefault="004637C8" w:rsidP="009A16E5">
      <w:pPr>
        <w:numPr>
          <w:ilvl w:val="0"/>
          <w:numId w:val="45"/>
        </w:numPr>
        <w:autoSpaceDE w:val="0"/>
        <w:autoSpaceDN w:val="0"/>
        <w:adjustRightInd w:val="0"/>
        <w:spacing w:before="120" w:after="120"/>
        <w:ind w:left="0" w:firstLine="0"/>
        <w:jc w:val="both"/>
        <w:rPr>
          <w:rFonts w:ascii="Georgia" w:eastAsia="Calibri" w:hAnsi="Georgia"/>
          <w:lang w:eastAsia="en-US"/>
        </w:rPr>
      </w:pPr>
      <w:r w:rsidRPr="004637C8">
        <w:rPr>
          <w:rFonts w:ascii="Georgia" w:eastAsia="Calibri" w:hAnsi="Georgia"/>
          <w:lang w:eastAsia="en-US"/>
        </w:rPr>
        <w:t xml:space="preserve">Contribuição Social Para o Financiamento da Seguridade Social (Cofins), cobrada sobre o faturamento das empresas; </w:t>
      </w:r>
    </w:p>
    <w:p w:rsidR="004637C8" w:rsidRPr="004637C8" w:rsidRDefault="004637C8" w:rsidP="009A16E5">
      <w:pPr>
        <w:numPr>
          <w:ilvl w:val="0"/>
          <w:numId w:val="45"/>
        </w:numPr>
        <w:autoSpaceDE w:val="0"/>
        <w:autoSpaceDN w:val="0"/>
        <w:adjustRightInd w:val="0"/>
        <w:spacing w:before="120" w:after="120"/>
        <w:ind w:left="0" w:firstLine="0"/>
        <w:jc w:val="both"/>
        <w:rPr>
          <w:rFonts w:ascii="Georgia" w:eastAsia="Calibri" w:hAnsi="Georgia"/>
          <w:lang w:eastAsia="en-US"/>
        </w:rPr>
      </w:pPr>
      <w:r w:rsidRPr="004637C8">
        <w:rPr>
          <w:rFonts w:ascii="Georgia" w:eastAsia="Calibri" w:hAnsi="Georgia"/>
          <w:lang w:eastAsia="en-US"/>
        </w:rPr>
        <w:t xml:space="preserve">Contribuição para o PIS/Pasep para financiar o Programa de Seguro-Desemprego e os programas de desenvolvimento do BNDES, também cobradas sobre o faturamento das empresas; </w:t>
      </w:r>
    </w:p>
    <w:p w:rsidR="004637C8" w:rsidRPr="004637C8" w:rsidRDefault="004637C8" w:rsidP="009A16E5">
      <w:pPr>
        <w:numPr>
          <w:ilvl w:val="0"/>
          <w:numId w:val="45"/>
        </w:numPr>
        <w:autoSpaceDE w:val="0"/>
        <w:autoSpaceDN w:val="0"/>
        <w:adjustRightInd w:val="0"/>
        <w:spacing w:before="120" w:after="120"/>
        <w:ind w:left="0" w:firstLine="0"/>
        <w:jc w:val="both"/>
        <w:rPr>
          <w:rFonts w:ascii="Georgia" w:eastAsia="Calibri" w:hAnsi="Georgia"/>
          <w:lang w:eastAsia="en-US"/>
        </w:rPr>
      </w:pPr>
      <w:r w:rsidRPr="004637C8">
        <w:rPr>
          <w:rFonts w:ascii="Georgia" w:eastAsia="Calibri" w:hAnsi="Georgia"/>
          <w:lang w:eastAsia="en-US"/>
        </w:rPr>
        <w:t>Contribuições sobre concurso de prognósticos; e,</w:t>
      </w:r>
    </w:p>
    <w:p w:rsidR="004637C8" w:rsidRPr="004637C8" w:rsidRDefault="004637C8" w:rsidP="009A16E5">
      <w:pPr>
        <w:numPr>
          <w:ilvl w:val="0"/>
          <w:numId w:val="45"/>
        </w:numPr>
        <w:autoSpaceDE w:val="0"/>
        <w:autoSpaceDN w:val="0"/>
        <w:adjustRightInd w:val="0"/>
        <w:spacing w:before="120" w:after="120"/>
        <w:ind w:left="0" w:firstLine="0"/>
        <w:jc w:val="both"/>
        <w:rPr>
          <w:rFonts w:ascii="Georgia" w:eastAsia="Calibri" w:hAnsi="Georgia"/>
          <w:lang w:eastAsia="en-US"/>
        </w:rPr>
      </w:pPr>
      <w:r w:rsidRPr="004637C8">
        <w:rPr>
          <w:rFonts w:ascii="Georgia" w:eastAsia="Calibri" w:hAnsi="Georgia"/>
          <w:lang w:eastAsia="en-US"/>
        </w:rPr>
        <w:lastRenderedPageBreak/>
        <w:t xml:space="preserve">Receitas próprias de todos os órgãos e entidades que participam desse orçamento. </w:t>
      </w:r>
    </w:p>
    <w:p w:rsidR="004637C8" w:rsidRPr="004637C8" w:rsidRDefault="004637C8" w:rsidP="004637C8">
      <w:pPr>
        <w:autoSpaceDE w:val="0"/>
        <w:autoSpaceDN w:val="0"/>
        <w:adjustRightInd w:val="0"/>
        <w:jc w:val="both"/>
        <w:rPr>
          <w:rFonts w:ascii="Cambria" w:eastAsia="Calibri" w:hAnsi="Cambria" w:cs="Cambria"/>
          <w:sz w:val="28"/>
          <w:szCs w:val="28"/>
          <w:lang w:eastAsia="en-US"/>
        </w:rPr>
      </w:pPr>
    </w:p>
    <w:p w:rsidR="004637C8" w:rsidRPr="004637C8" w:rsidRDefault="004637C8" w:rsidP="004637C8">
      <w:pPr>
        <w:autoSpaceDE w:val="0"/>
        <w:autoSpaceDN w:val="0"/>
        <w:adjustRightInd w:val="0"/>
        <w:jc w:val="both"/>
        <w:rPr>
          <w:rFonts w:ascii="Georgia" w:eastAsia="Calibri" w:hAnsi="Georgia" w:cs="Georgia"/>
          <w:lang w:eastAsia="en-US"/>
        </w:rPr>
      </w:pPr>
      <w:r w:rsidRPr="004637C8">
        <w:rPr>
          <w:rFonts w:ascii="Georgia" w:eastAsia="Calibri" w:hAnsi="Georgia" w:cs="Georgia"/>
          <w:lang w:eastAsia="en-US"/>
        </w:rPr>
        <w:t xml:space="preserve">Mas apesar da CF, no §5º do artigo 165, também ter determinado a obrigatoriedade de apresentação de três orçamentos da União (o Orçamento Fiscal, o das Empresas Estatais e o da Seguridade Social), os sucessivos governos brasileiros têm incluído na lei orçamentária anual enviada ao Congresso Nacional apenas duas peças: o Orçamento das Estatais e, de modo agregado, o Orçamento Fiscal e da Seguridade. </w:t>
      </w:r>
    </w:p>
    <w:p w:rsidR="004637C8" w:rsidRPr="004637C8" w:rsidRDefault="004637C8" w:rsidP="004637C8">
      <w:pPr>
        <w:autoSpaceDE w:val="0"/>
        <w:autoSpaceDN w:val="0"/>
        <w:adjustRightInd w:val="0"/>
        <w:jc w:val="both"/>
        <w:rPr>
          <w:rFonts w:ascii="Georgia" w:eastAsia="Calibri" w:hAnsi="Georgia" w:cs="Georgia"/>
          <w:lang w:eastAsia="en-US"/>
        </w:rPr>
      </w:pPr>
    </w:p>
    <w:p w:rsidR="004637C8" w:rsidRPr="004637C8" w:rsidRDefault="004637C8" w:rsidP="004637C8">
      <w:pPr>
        <w:autoSpaceDE w:val="0"/>
        <w:autoSpaceDN w:val="0"/>
        <w:adjustRightInd w:val="0"/>
        <w:jc w:val="both"/>
        <w:rPr>
          <w:rFonts w:ascii="Georgia" w:eastAsia="Calibri" w:hAnsi="Georgia" w:cs="Georgia"/>
          <w:lang w:eastAsia="en-US"/>
        </w:rPr>
      </w:pPr>
      <w:r w:rsidRPr="004637C8">
        <w:rPr>
          <w:rFonts w:ascii="Georgia" w:eastAsia="Calibri" w:hAnsi="Georgia" w:cs="Georgia"/>
          <w:lang w:eastAsia="en-US"/>
        </w:rPr>
        <w:t xml:space="preserve">Isso exige que estudiosos e especialistas reconstruam o que seria o Orçamento da Seguridade, considerando, por um lado, a diversificada base de financiamento e, por outro, o conjunto de despesas vinculadas à Saúde, à Assistência e à Previdência. Também são incluídas nesse orçamento as receitas e despesas do Fundo de Amparo ao Trabalhador (FAT), para viabilizar o Seguro-Desemprego e o abono salarial. </w:t>
      </w:r>
    </w:p>
    <w:p w:rsidR="004637C8" w:rsidRPr="004637C8" w:rsidRDefault="004637C8" w:rsidP="004637C8">
      <w:pPr>
        <w:autoSpaceDE w:val="0"/>
        <w:autoSpaceDN w:val="0"/>
        <w:adjustRightInd w:val="0"/>
        <w:jc w:val="both"/>
        <w:rPr>
          <w:rFonts w:ascii="Georgia" w:eastAsia="Calibri" w:hAnsi="Georgia" w:cs="Georgia"/>
          <w:lang w:eastAsia="en-US"/>
        </w:rPr>
      </w:pPr>
    </w:p>
    <w:p w:rsidR="004637C8" w:rsidRPr="004637C8" w:rsidRDefault="004637C8" w:rsidP="004637C8">
      <w:pPr>
        <w:autoSpaceDE w:val="0"/>
        <w:autoSpaceDN w:val="0"/>
        <w:adjustRightInd w:val="0"/>
        <w:jc w:val="both"/>
        <w:rPr>
          <w:rFonts w:ascii="Georgia" w:eastAsia="Calibri" w:hAnsi="Georgia" w:cs="Georgia"/>
          <w:lang w:eastAsia="en-US"/>
        </w:rPr>
      </w:pPr>
    </w:p>
    <w:p w:rsidR="004637C8" w:rsidRPr="004637C8" w:rsidRDefault="004637C8" w:rsidP="004637C8">
      <w:pPr>
        <w:autoSpaceDE w:val="0"/>
        <w:autoSpaceDN w:val="0"/>
        <w:adjustRightInd w:val="0"/>
        <w:rPr>
          <w:rFonts w:ascii="Georgia" w:eastAsia="Calibri" w:hAnsi="Georgia" w:cs="Georgia"/>
          <w:b/>
          <w:lang w:eastAsia="en-US"/>
        </w:rPr>
      </w:pPr>
      <w:r w:rsidRPr="004637C8">
        <w:rPr>
          <w:rFonts w:ascii="Georgia" w:eastAsia="Calibri" w:hAnsi="Georgia" w:cs="Georgia"/>
          <w:b/>
          <w:lang w:eastAsia="en-US"/>
        </w:rPr>
        <w:t xml:space="preserve">A Seguridade Social é superavitária </w:t>
      </w:r>
    </w:p>
    <w:p w:rsidR="004637C8" w:rsidRPr="004637C8" w:rsidRDefault="004637C8" w:rsidP="004637C8">
      <w:pPr>
        <w:autoSpaceDE w:val="0"/>
        <w:autoSpaceDN w:val="0"/>
        <w:adjustRightInd w:val="0"/>
        <w:jc w:val="both"/>
        <w:rPr>
          <w:rFonts w:ascii="Georgia" w:eastAsia="Calibri" w:hAnsi="Georgia" w:cs="Georgia"/>
          <w:lang w:eastAsia="en-US"/>
        </w:rPr>
      </w:pPr>
    </w:p>
    <w:p w:rsidR="004637C8" w:rsidRPr="004637C8" w:rsidRDefault="004637C8" w:rsidP="004637C8">
      <w:pPr>
        <w:autoSpaceDE w:val="0"/>
        <w:autoSpaceDN w:val="0"/>
        <w:adjustRightInd w:val="0"/>
        <w:jc w:val="both"/>
        <w:rPr>
          <w:rFonts w:ascii="Georgia" w:hAnsi="Georgia"/>
          <w:color w:val="943634"/>
        </w:rPr>
      </w:pPr>
      <w:r w:rsidRPr="004637C8">
        <w:rPr>
          <w:rFonts w:ascii="Georgia" w:eastAsia="Calibri" w:hAnsi="Georgia" w:cs="Georgia"/>
          <w:lang w:eastAsia="en-US"/>
        </w:rPr>
        <w:t xml:space="preserve">Desse modo, estudos realizados pela ANFIP revelam que a Seguridade Social sempre foi superavitária, se fossem seguidos os procedimentos e fontes estabelecidas pela Constituição para o seu financiamento. </w:t>
      </w:r>
      <w:r w:rsidRPr="004637C8">
        <w:rPr>
          <w:rFonts w:ascii="Georgia" w:hAnsi="Georgia"/>
        </w:rPr>
        <w:t xml:space="preserve">O relatório produzido pela entidade para o ano de 2015 </w:t>
      </w:r>
      <w:r w:rsidRPr="004637C8">
        <w:rPr>
          <w:rFonts w:ascii="Georgia" w:hAnsi="Georgia"/>
          <w:color w:val="4F81BD"/>
        </w:rPr>
        <w:t xml:space="preserve">(ANFIP, 2016) </w:t>
      </w:r>
      <w:r w:rsidRPr="004637C8">
        <w:rPr>
          <w:rFonts w:ascii="Georgia" w:hAnsi="Georgia"/>
        </w:rPr>
        <w:t xml:space="preserve">traz, inclusive, os valores apurados desses superávits, para o período de 2007 a 2015 </w:t>
      </w:r>
      <w:r w:rsidRPr="004637C8">
        <w:rPr>
          <w:rFonts w:ascii="Georgia" w:hAnsi="Georgia"/>
          <w:color w:val="943634"/>
        </w:rPr>
        <w:t xml:space="preserve">(Figura 4), </w:t>
      </w:r>
      <w:r w:rsidRPr="004637C8">
        <w:rPr>
          <w:rFonts w:ascii="Georgia" w:hAnsi="Georgia"/>
        </w:rPr>
        <w:t xml:space="preserve">e a evolução da receita, da despesa e do resultado do sistema para os anos ímpares entre 2005 e 2015 </w:t>
      </w:r>
      <w:r w:rsidRPr="004637C8">
        <w:rPr>
          <w:rFonts w:ascii="Georgia" w:hAnsi="Georgia"/>
          <w:color w:val="943634"/>
        </w:rPr>
        <w:t>(Figura 5).</w:t>
      </w:r>
    </w:p>
    <w:p w:rsidR="004637C8" w:rsidRPr="004637C8" w:rsidRDefault="004637C8" w:rsidP="004637C8">
      <w:pPr>
        <w:autoSpaceDE w:val="0"/>
        <w:autoSpaceDN w:val="0"/>
        <w:adjustRightInd w:val="0"/>
        <w:jc w:val="both"/>
        <w:rPr>
          <w:rFonts w:ascii="Georgia" w:hAnsi="Georgia"/>
          <w:color w:val="943634"/>
        </w:rPr>
      </w:pPr>
    </w:p>
    <w:p w:rsidR="004637C8" w:rsidRPr="004637C8" w:rsidRDefault="004637C8" w:rsidP="004637C8">
      <w:pPr>
        <w:autoSpaceDE w:val="0"/>
        <w:autoSpaceDN w:val="0"/>
        <w:adjustRightInd w:val="0"/>
        <w:jc w:val="both"/>
        <w:rPr>
          <w:rFonts w:ascii="Georgia" w:hAnsi="Georgia"/>
          <w:color w:val="943634"/>
        </w:rPr>
      </w:pPr>
    </w:p>
    <w:p w:rsidR="004637C8" w:rsidRPr="004637C8" w:rsidRDefault="004637C8" w:rsidP="004637C8">
      <w:pPr>
        <w:textAlignment w:val="baseline"/>
        <w:rPr>
          <w:rFonts w:ascii="Georgia" w:hAnsi="Georgia"/>
        </w:rPr>
      </w:pPr>
      <w:r w:rsidRPr="004637C8">
        <w:rPr>
          <w:rFonts w:ascii="Georgia" w:hAnsi="Georgia"/>
        </w:rPr>
        <w:t>FIGURA 4 – SUPERAVIT DA SEGURIDADE SOCIAL</w:t>
      </w:r>
    </w:p>
    <w:p w:rsidR="004637C8" w:rsidRPr="004637C8" w:rsidRDefault="004637C8" w:rsidP="004637C8">
      <w:pPr>
        <w:textAlignment w:val="baseline"/>
        <w:rPr>
          <w:rFonts w:ascii="Georgia" w:hAnsi="Georgia"/>
          <w:color w:val="943634"/>
        </w:rPr>
      </w:pPr>
      <w:r w:rsidRPr="004637C8">
        <w:rPr>
          <w:rFonts w:ascii="Georgia" w:hAnsi="Georgia"/>
        </w:rPr>
        <w:t xml:space="preserve"> (EM MILHÕES CORRENTES</w:t>
      </w:r>
      <w:r w:rsidR="009D1E50" w:rsidRPr="004637C8">
        <w:rPr>
          <w:rFonts w:ascii="Georgia" w:hAnsi="Georgia"/>
        </w:rPr>
        <w:t xml:space="preserve">) </w:t>
      </w:r>
      <w:r w:rsidRPr="004637C8">
        <w:rPr>
          <w:rFonts w:ascii="Georgia" w:hAnsi="Georgia"/>
        </w:rPr>
        <w:br/>
        <w:t>2007-2015.</w:t>
      </w:r>
    </w:p>
    <w:p w:rsidR="004637C8" w:rsidRPr="004637C8" w:rsidRDefault="004637C8" w:rsidP="004637C8">
      <w:pPr>
        <w:spacing w:before="240"/>
        <w:jc w:val="both"/>
        <w:textAlignment w:val="baseline"/>
        <w:rPr>
          <w:rFonts w:ascii="Georgia" w:hAnsi="Georgia"/>
          <w:kern w:val="24"/>
        </w:rPr>
      </w:pPr>
      <w:r w:rsidRPr="004637C8">
        <w:rPr>
          <w:rFonts w:ascii="Calibri" w:hAnsi="Calibri"/>
          <w:noProof/>
          <w:sz w:val="20"/>
          <w:szCs w:val="20"/>
        </w:rPr>
        <w:drawing>
          <wp:inline distT="0" distB="0" distL="0" distR="0" wp14:anchorId="234C9812" wp14:editId="4C72B744">
            <wp:extent cx="5176300" cy="2973788"/>
            <wp:effectExtent l="0" t="0" r="24765" b="17145"/>
            <wp:docPr id="6"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637C8" w:rsidRPr="004637C8" w:rsidRDefault="004637C8" w:rsidP="004637C8">
      <w:pPr>
        <w:spacing w:before="100"/>
        <w:jc w:val="both"/>
        <w:rPr>
          <w:rFonts w:ascii="Georgia" w:hAnsi="Georgia"/>
          <w:kern w:val="24"/>
        </w:rPr>
      </w:pPr>
      <w:r w:rsidRPr="004637C8">
        <w:rPr>
          <w:rFonts w:ascii="Calibri" w:hAnsi="Calibri"/>
          <w:sz w:val="20"/>
          <w:szCs w:val="20"/>
        </w:rPr>
        <w:lastRenderedPageBreak/>
        <w:t>Fonte: ANFIP</w:t>
      </w:r>
      <w:r w:rsidRPr="004637C8">
        <w:rPr>
          <w:rFonts w:ascii="Calibri" w:hAnsi="Calibri"/>
          <w:i/>
          <w:iCs/>
          <w:sz w:val="20"/>
          <w:szCs w:val="20"/>
        </w:rPr>
        <w:t xml:space="preserve"> in </w:t>
      </w:r>
      <w:r w:rsidRPr="004637C8">
        <w:rPr>
          <w:rFonts w:ascii="Calibri" w:hAnsi="Calibri"/>
          <w:sz w:val="20"/>
          <w:szCs w:val="20"/>
        </w:rPr>
        <w:t>Análise da Seguridade Social 2015.</w:t>
      </w:r>
    </w:p>
    <w:p w:rsidR="004637C8" w:rsidRPr="004637C8" w:rsidRDefault="004637C8" w:rsidP="004637C8">
      <w:pPr>
        <w:spacing w:before="240"/>
        <w:jc w:val="both"/>
        <w:textAlignment w:val="baseline"/>
        <w:rPr>
          <w:rFonts w:ascii="Georgia" w:hAnsi="Georgia"/>
          <w:kern w:val="24"/>
        </w:rPr>
      </w:pPr>
    </w:p>
    <w:p w:rsidR="004637C8" w:rsidRPr="004637C8" w:rsidRDefault="004637C8" w:rsidP="004637C8">
      <w:pPr>
        <w:spacing w:before="240"/>
        <w:jc w:val="both"/>
        <w:textAlignment w:val="baseline"/>
        <w:rPr>
          <w:rFonts w:ascii="Georgia" w:hAnsi="Georgia"/>
          <w:kern w:val="24"/>
        </w:rPr>
      </w:pPr>
    </w:p>
    <w:p w:rsidR="004637C8" w:rsidRPr="004637C8" w:rsidRDefault="004637C8" w:rsidP="004637C8">
      <w:pPr>
        <w:spacing w:before="240"/>
        <w:jc w:val="both"/>
        <w:textAlignment w:val="baseline"/>
        <w:rPr>
          <w:rFonts w:ascii="Georgia" w:hAnsi="Georgia"/>
          <w:kern w:val="24"/>
        </w:rPr>
      </w:pPr>
    </w:p>
    <w:p w:rsidR="004637C8" w:rsidRPr="004637C8" w:rsidRDefault="004637C8" w:rsidP="004637C8">
      <w:pPr>
        <w:textAlignment w:val="baseline"/>
        <w:rPr>
          <w:rFonts w:ascii="Georgia" w:hAnsi="Georgia"/>
        </w:rPr>
      </w:pPr>
      <w:r w:rsidRPr="004637C8">
        <w:rPr>
          <w:rFonts w:ascii="Georgia" w:hAnsi="Georgia"/>
        </w:rPr>
        <w:t>FIGURA 5 – RECEITAS, DESPESAS E RESULTADO DO ORÇAMENTO DA SEGURIDADE SOCIAL.</w:t>
      </w:r>
    </w:p>
    <w:p w:rsidR="004637C8" w:rsidRPr="004637C8" w:rsidRDefault="004637C8" w:rsidP="004637C8">
      <w:pPr>
        <w:textAlignment w:val="baseline"/>
        <w:rPr>
          <w:rFonts w:ascii="Georgia" w:hAnsi="Georgia"/>
        </w:rPr>
      </w:pPr>
      <w:r w:rsidRPr="004637C8">
        <w:rPr>
          <w:rFonts w:ascii="Georgia" w:hAnsi="Georgia"/>
        </w:rPr>
        <w:t xml:space="preserve"> (EM MILHÕES CORRENTES</w:t>
      </w:r>
      <w:r w:rsidR="009D1E50" w:rsidRPr="004637C8">
        <w:rPr>
          <w:rFonts w:ascii="Georgia" w:hAnsi="Georgia"/>
        </w:rPr>
        <w:t xml:space="preserve">) </w:t>
      </w:r>
      <w:r w:rsidRPr="004637C8">
        <w:rPr>
          <w:rFonts w:ascii="Georgia" w:hAnsi="Georgia"/>
        </w:rPr>
        <w:br/>
        <w:t>ANOS SELECIONADOS.</w:t>
      </w:r>
    </w:p>
    <w:p w:rsidR="004637C8" w:rsidRPr="004637C8" w:rsidRDefault="004637C8" w:rsidP="004637C8">
      <w:pPr>
        <w:spacing w:before="240"/>
        <w:jc w:val="both"/>
        <w:textAlignment w:val="baseline"/>
        <w:rPr>
          <w:rFonts w:ascii="Georgia" w:hAnsi="Georgia"/>
          <w:kern w:val="24"/>
        </w:rPr>
      </w:pPr>
    </w:p>
    <w:p w:rsidR="004637C8" w:rsidRPr="004637C8" w:rsidRDefault="004637C8" w:rsidP="004637C8">
      <w:pPr>
        <w:spacing w:before="240"/>
        <w:jc w:val="both"/>
        <w:textAlignment w:val="baseline"/>
        <w:rPr>
          <w:rFonts w:ascii="Georgia" w:hAnsi="Georgia"/>
          <w:kern w:val="24"/>
        </w:rPr>
      </w:pPr>
      <w:r w:rsidRPr="004637C8">
        <w:rPr>
          <w:rFonts w:ascii="Calibri" w:hAnsi="Calibri"/>
          <w:noProof/>
          <w:sz w:val="20"/>
          <w:szCs w:val="20"/>
        </w:rPr>
        <w:drawing>
          <wp:inline distT="0" distB="0" distL="0" distR="0" wp14:anchorId="756C08D7" wp14:editId="4C9C118C">
            <wp:extent cx="5454595" cy="3347499"/>
            <wp:effectExtent l="0" t="0" r="13335" b="24765"/>
            <wp:docPr id="7"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637C8" w:rsidRPr="004637C8" w:rsidRDefault="004637C8" w:rsidP="004637C8">
      <w:pPr>
        <w:spacing w:before="100"/>
        <w:jc w:val="both"/>
        <w:rPr>
          <w:rFonts w:ascii="Georgia" w:hAnsi="Georgia"/>
          <w:kern w:val="24"/>
        </w:rPr>
      </w:pPr>
      <w:r w:rsidRPr="004637C8">
        <w:rPr>
          <w:rFonts w:ascii="Calibri" w:hAnsi="Calibri"/>
          <w:sz w:val="20"/>
          <w:szCs w:val="20"/>
        </w:rPr>
        <w:t>Fonte: ANFIP</w:t>
      </w:r>
      <w:r w:rsidRPr="004637C8">
        <w:rPr>
          <w:rFonts w:ascii="Calibri" w:hAnsi="Calibri"/>
          <w:i/>
          <w:iCs/>
          <w:sz w:val="20"/>
          <w:szCs w:val="20"/>
        </w:rPr>
        <w:t xml:space="preserve"> in </w:t>
      </w:r>
      <w:r w:rsidRPr="004637C8">
        <w:rPr>
          <w:rFonts w:ascii="Calibri" w:hAnsi="Calibri"/>
          <w:sz w:val="20"/>
          <w:szCs w:val="20"/>
        </w:rPr>
        <w:t>Análise da Seguridade Social 2015.</w:t>
      </w:r>
      <w:r w:rsidR="00146E78" w:rsidRPr="00146E78">
        <w:t xml:space="preserve"> </w:t>
      </w:r>
    </w:p>
    <w:p w:rsidR="004637C8" w:rsidRPr="004637C8" w:rsidRDefault="004637C8" w:rsidP="004637C8">
      <w:pPr>
        <w:spacing w:before="240"/>
        <w:jc w:val="both"/>
        <w:textAlignment w:val="baseline"/>
        <w:rPr>
          <w:rFonts w:ascii="Georgia" w:hAnsi="Georgia"/>
          <w:kern w:val="24"/>
        </w:rPr>
      </w:pPr>
    </w:p>
    <w:p w:rsidR="004637C8" w:rsidRPr="004637C8" w:rsidRDefault="004637C8" w:rsidP="004637C8">
      <w:pPr>
        <w:spacing w:before="240"/>
        <w:jc w:val="both"/>
        <w:textAlignment w:val="baseline"/>
        <w:rPr>
          <w:rFonts w:ascii="Calibri" w:hAnsi="Calibri"/>
          <w:sz w:val="20"/>
          <w:szCs w:val="20"/>
          <w:lang w:eastAsia="en-US"/>
        </w:rPr>
      </w:pPr>
      <w:r w:rsidRPr="004637C8">
        <w:rPr>
          <w:rFonts w:ascii="Georgia" w:hAnsi="Georgia"/>
        </w:rPr>
        <w:t xml:space="preserve">Os relatórios da ANFIP mostram também as informações sobre o orçamento da Seguridade Social de forma detalhada </w:t>
      </w:r>
      <w:r w:rsidRPr="004637C8">
        <w:rPr>
          <w:rFonts w:ascii="Georgia" w:hAnsi="Georgia"/>
          <w:color w:val="943634"/>
        </w:rPr>
        <w:t xml:space="preserve">(Figura 6). </w:t>
      </w:r>
      <w:r w:rsidRPr="004637C8">
        <w:rPr>
          <w:rFonts w:ascii="Georgia" w:hAnsi="Georgia"/>
        </w:rPr>
        <w:t>Destaca-se entre os principais dados divulgados a preocupante tendência de redução do superávit, observada em 2015, que é fruto da recessão econômica e da política de renúncias tributárias. A expectativa é que o resultado de 2016 repita este comportamento, significando talvez pela primeira vez, em 28 anos, um resultado negativo nas estimativas de comportamento das contas da Seguridade Social.</w:t>
      </w:r>
    </w:p>
    <w:p w:rsidR="004637C8" w:rsidRPr="004637C8" w:rsidRDefault="004637C8" w:rsidP="004637C8">
      <w:pPr>
        <w:spacing w:before="100"/>
        <w:jc w:val="both"/>
        <w:textAlignment w:val="baseline"/>
        <w:rPr>
          <w:rFonts w:ascii="Georgia" w:hAnsi="Georgia"/>
        </w:rPr>
      </w:pPr>
    </w:p>
    <w:p w:rsidR="004637C8" w:rsidRPr="004637C8" w:rsidRDefault="004637C8" w:rsidP="004637C8">
      <w:pPr>
        <w:spacing w:before="100"/>
        <w:textAlignment w:val="baseline"/>
        <w:rPr>
          <w:rFonts w:ascii="Calibri" w:hAnsi="Calibri"/>
          <w:sz w:val="20"/>
          <w:szCs w:val="20"/>
          <w:lang w:eastAsia="en-US"/>
        </w:rPr>
      </w:pPr>
      <w:r w:rsidRPr="004637C8">
        <w:rPr>
          <w:rFonts w:ascii="Georgia" w:hAnsi="Georgia"/>
          <w:sz w:val="20"/>
        </w:rPr>
        <w:t>FIGURA 6 – RECEITAS, DESPESAS E RESULTADO DO ORÇAMENTO DA SEGURIDADE SOCIAL (EM R$MILHÕES CORRENTES</w:t>
      </w:r>
      <w:r w:rsidR="009D1E50" w:rsidRPr="004637C8">
        <w:rPr>
          <w:rFonts w:ascii="Georgia" w:hAnsi="Georgia"/>
          <w:sz w:val="20"/>
        </w:rPr>
        <w:t xml:space="preserve">) </w:t>
      </w:r>
      <w:r w:rsidRPr="004637C8">
        <w:rPr>
          <w:rFonts w:ascii="Georgia" w:hAnsi="Georgia"/>
          <w:sz w:val="20"/>
        </w:rPr>
        <w:br/>
        <w:t xml:space="preserve">ANOS </w:t>
      </w:r>
      <w:r w:rsidR="009D1E50" w:rsidRPr="004637C8">
        <w:rPr>
          <w:rFonts w:ascii="Georgia" w:hAnsi="Georgia"/>
          <w:sz w:val="20"/>
        </w:rPr>
        <w:t>SELECIONADOS.</w:t>
      </w:r>
    </w:p>
    <w:p w:rsidR="004637C8" w:rsidRPr="004637C8" w:rsidRDefault="004637C8" w:rsidP="004637C8">
      <w:pPr>
        <w:spacing w:before="100"/>
        <w:jc w:val="both"/>
        <w:textAlignment w:val="baseline"/>
        <w:rPr>
          <w:rFonts w:ascii="Georgia" w:hAnsi="Georgia"/>
          <w:sz w:val="20"/>
        </w:rPr>
      </w:pPr>
    </w:p>
    <w:tbl>
      <w:tblPr>
        <w:tblW w:w="9655" w:type="dxa"/>
        <w:tblLayout w:type="fixed"/>
        <w:tblCellMar>
          <w:left w:w="113" w:type="dxa"/>
        </w:tblCellMar>
        <w:tblLook w:val="0000" w:firstRow="0" w:lastRow="0" w:firstColumn="0" w:lastColumn="0" w:noHBand="0" w:noVBand="0"/>
      </w:tblPr>
      <w:tblGrid>
        <w:gridCol w:w="3981"/>
        <w:gridCol w:w="940"/>
        <w:gridCol w:w="939"/>
        <w:gridCol w:w="940"/>
        <w:gridCol w:w="940"/>
        <w:gridCol w:w="940"/>
        <w:gridCol w:w="975"/>
      </w:tblGrid>
      <w:tr w:rsidR="004637C8" w:rsidRPr="004637C8" w:rsidTr="0020202E">
        <w:trPr>
          <w:trHeight w:val="20"/>
        </w:trPr>
        <w:tc>
          <w:tcPr>
            <w:tcW w:w="3981" w:type="dxa"/>
            <w:tcBorders>
              <w:top w:val="single" w:sz="4" w:space="0" w:color="B6DDE8"/>
              <w:left w:val="single" w:sz="4" w:space="0" w:color="B6DDE8"/>
              <w:bottom w:val="single" w:sz="12" w:space="0" w:color="92CDDC"/>
              <w:right w:val="single" w:sz="4" w:space="0" w:color="B6DDE8"/>
            </w:tcBorders>
            <w:shd w:val="clear" w:color="auto" w:fill="002060"/>
          </w:tcPr>
          <w:p w:rsidR="004637C8" w:rsidRPr="004637C8" w:rsidRDefault="004637C8" w:rsidP="004637C8">
            <w:pPr>
              <w:rPr>
                <w:rFonts w:ascii="Calibri" w:hAnsi="Calibri"/>
                <w:sz w:val="20"/>
                <w:szCs w:val="20"/>
                <w:lang w:eastAsia="en-US"/>
              </w:rPr>
            </w:pPr>
            <w:r w:rsidRPr="004637C8">
              <w:rPr>
                <w:rFonts w:ascii="Calibri" w:hAnsi="Calibri"/>
                <w:bCs/>
                <w:sz w:val="22"/>
                <w:szCs w:val="22"/>
              </w:rPr>
              <w:t>RECEITAS REALIZADAS</w:t>
            </w:r>
          </w:p>
        </w:tc>
        <w:tc>
          <w:tcPr>
            <w:tcW w:w="940" w:type="dxa"/>
            <w:tcBorders>
              <w:top w:val="single" w:sz="4" w:space="0" w:color="B6DDE8"/>
              <w:left w:val="single" w:sz="4" w:space="0" w:color="B6DDE8"/>
              <w:bottom w:val="single" w:sz="12" w:space="0" w:color="92CDDC"/>
              <w:right w:val="single" w:sz="4" w:space="0" w:color="B6DDE8"/>
            </w:tcBorders>
            <w:shd w:val="clear" w:color="auto" w:fill="002060"/>
          </w:tcPr>
          <w:p w:rsidR="004637C8" w:rsidRPr="004637C8" w:rsidRDefault="004637C8" w:rsidP="004637C8">
            <w:pPr>
              <w:jc w:val="center"/>
              <w:rPr>
                <w:rFonts w:ascii="Calibri" w:hAnsi="Calibri"/>
                <w:sz w:val="20"/>
                <w:szCs w:val="20"/>
                <w:lang w:eastAsia="en-US"/>
              </w:rPr>
            </w:pPr>
            <w:r w:rsidRPr="004637C8">
              <w:rPr>
                <w:rFonts w:ascii="Calibri" w:hAnsi="Calibri"/>
                <w:bCs/>
                <w:sz w:val="22"/>
                <w:szCs w:val="22"/>
              </w:rPr>
              <w:t>2005</w:t>
            </w:r>
          </w:p>
        </w:tc>
        <w:tc>
          <w:tcPr>
            <w:tcW w:w="939" w:type="dxa"/>
            <w:tcBorders>
              <w:top w:val="single" w:sz="4" w:space="0" w:color="B6DDE8"/>
              <w:left w:val="single" w:sz="4" w:space="0" w:color="B6DDE8"/>
              <w:bottom w:val="single" w:sz="12" w:space="0" w:color="92CDDC"/>
              <w:right w:val="single" w:sz="4" w:space="0" w:color="B6DDE8"/>
            </w:tcBorders>
            <w:shd w:val="clear" w:color="auto" w:fill="002060"/>
          </w:tcPr>
          <w:p w:rsidR="004637C8" w:rsidRPr="004637C8" w:rsidRDefault="004637C8" w:rsidP="004637C8">
            <w:pPr>
              <w:jc w:val="center"/>
              <w:rPr>
                <w:rFonts w:ascii="Calibri" w:hAnsi="Calibri"/>
                <w:sz w:val="20"/>
                <w:szCs w:val="20"/>
                <w:lang w:eastAsia="en-US"/>
              </w:rPr>
            </w:pPr>
            <w:r w:rsidRPr="004637C8">
              <w:rPr>
                <w:rFonts w:ascii="Calibri" w:hAnsi="Calibri"/>
                <w:bCs/>
                <w:sz w:val="22"/>
                <w:szCs w:val="22"/>
              </w:rPr>
              <w:t>2007</w:t>
            </w:r>
          </w:p>
        </w:tc>
        <w:tc>
          <w:tcPr>
            <w:tcW w:w="940" w:type="dxa"/>
            <w:tcBorders>
              <w:top w:val="single" w:sz="4" w:space="0" w:color="B6DDE8"/>
              <w:left w:val="single" w:sz="4" w:space="0" w:color="B6DDE8"/>
              <w:bottom w:val="single" w:sz="12" w:space="0" w:color="92CDDC"/>
              <w:right w:val="single" w:sz="4" w:space="0" w:color="B6DDE8"/>
            </w:tcBorders>
            <w:shd w:val="clear" w:color="auto" w:fill="002060"/>
          </w:tcPr>
          <w:p w:rsidR="004637C8" w:rsidRPr="004637C8" w:rsidRDefault="004637C8" w:rsidP="004637C8">
            <w:pPr>
              <w:jc w:val="center"/>
              <w:rPr>
                <w:rFonts w:ascii="Calibri" w:hAnsi="Calibri"/>
                <w:sz w:val="20"/>
                <w:szCs w:val="20"/>
                <w:lang w:eastAsia="en-US"/>
              </w:rPr>
            </w:pPr>
            <w:r w:rsidRPr="004637C8">
              <w:rPr>
                <w:rFonts w:ascii="Calibri" w:hAnsi="Calibri"/>
                <w:bCs/>
                <w:sz w:val="22"/>
                <w:szCs w:val="22"/>
              </w:rPr>
              <w:t>2009</w:t>
            </w:r>
          </w:p>
        </w:tc>
        <w:tc>
          <w:tcPr>
            <w:tcW w:w="940" w:type="dxa"/>
            <w:tcBorders>
              <w:top w:val="single" w:sz="4" w:space="0" w:color="B6DDE8"/>
              <w:left w:val="single" w:sz="4" w:space="0" w:color="B6DDE8"/>
              <w:bottom w:val="single" w:sz="12" w:space="0" w:color="92CDDC"/>
              <w:right w:val="single" w:sz="4" w:space="0" w:color="B6DDE8"/>
            </w:tcBorders>
            <w:shd w:val="clear" w:color="auto" w:fill="002060"/>
          </w:tcPr>
          <w:p w:rsidR="004637C8" w:rsidRPr="004637C8" w:rsidRDefault="004637C8" w:rsidP="004637C8">
            <w:pPr>
              <w:jc w:val="center"/>
              <w:rPr>
                <w:rFonts w:ascii="Calibri" w:hAnsi="Calibri"/>
                <w:sz w:val="20"/>
                <w:szCs w:val="20"/>
                <w:lang w:eastAsia="en-US"/>
              </w:rPr>
            </w:pPr>
            <w:r w:rsidRPr="004637C8">
              <w:rPr>
                <w:rFonts w:ascii="Calibri" w:hAnsi="Calibri"/>
                <w:bCs/>
                <w:sz w:val="22"/>
                <w:szCs w:val="22"/>
              </w:rPr>
              <w:t>2011</w:t>
            </w:r>
          </w:p>
        </w:tc>
        <w:tc>
          <w:tcPr>
            <w:tcW w:w="940" w:type="dxa"/>
            <w:tcBorders>
              <w:top w:val="single" w:sz="4" w:space="0" w:color="B6DDE8"/>
              <w:left w:val="single" w:sz="4" w:space="0" w:color="B6DDE8"/>
              <w:bottom w:val="single" w:sz="12" w:space="0" w:color="92CDDC"/>
              <w:right w:val="single" w:sz="4" w:space="0" w:color="B6DDE8"/>
            </w:tcBorders>
            <w:shd w:val="clear" w:color="auto" w:fill="002060"/>
          </w:tcPr>
          <w:p w:rsidR="004637C8" w:rsidRPr="004637C8" w:rsidRDefault="004637C8" w:rsidP="004637C8">
            <w:pPr>
              <w:jc w:val="center"/>
              <w:rPr>
                <w:rFonts w:ascii="Calibri" w:hAnsi="Calibri"/>
                <w:sz w:val="20"/>
                <w:szCs w:val="20"/>
                <w:lang w:eastAsia="en-US"/>
              </w:rPr>
            </w:pPr>
            <w:r w:rsidRPr="004637C8">
              <w:rPr>
                <w:rFonts w:ascii="Calibri" w:hAnsi="Calibri"/>
                <w:bCs/>
                <w:sz w:val="22"/>
                <w:szCs w:val="22"/>
              </w:rPr>
              <w:t>2013</w:t>
            </w:r>
          </w:p>
        </w:tc>
        <w:tc>
          <w:tcPr>
            <w:tcW w:w="975" w:type="dxa"/>
            <w:tcBorders>
              <w:top w:val="single" w:sz="4" w:space="0" w:color="B6DDE8"/>
              <w:left w:val="single" w:sz="4" w:space="0" w:color="B6DDE8"/>
              <w:bottom w:val="single" w:sz="12" w:space="0" w:color="92CDDC"/>
              <w:right w:val="single" w:sz="4" w:space="0" w:color="B6DDE8"/>
            </w:tcBorders>
            <w:shd w:val="clear" w:color="auto" w:fill="002060"/>
          </w:tcPr>
          <w:p w:rsidR="004637C8" w:rsidRPr="004637C8" w:rsidRDefault="004637C8" w:rsidP="004637C8">
            <w:pPr>
              <w:jc w:val="center"/>
              <w:rPr>
                <w:rFonts w:ascii="Calibri" w:hAnsi="Calibri"/>
                <w:sz w:val="20"/>
                <w:szCs w:val="20"/>
                <w:lang w:eastAsia="en-US"/>
              </w:rPr>
            </w:pPr>
            <w:r w:rsidRPr="004637C8">
              <w:rPr>
                <w:rFonts w:ascii="Calibri" w:hAnsi="Calibri"/>
                <w:bCs/>
                <w:sz w:val="22"/>
                <w:szCs w:val="22"/>
              </w:rPr>
              <w:t>2015</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t>1. RECEITA DE CONTRIBUIÇÕES SOCIAIS</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277.045</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340.281</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375.887</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508.095</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634.239</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671.637</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lastRenderedPageBreak/>
              <w:t xml:space="preserve">Receita Previdenciária </w:t>
            </w:r>
            <w:r w:rsidRPr="004637C8">
              <w:rPr>
                <w:rFonts w:ascii="Calibri" w:hAnsi="Calibri"/>
                <w:bCs/>
                <w:sz w:val="18"/>
                <w:szCs w:val="18"/>
                <w:vertAlign w:val="superscript"/>
              </w:rPr>
              <w:t>(1)</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108.434</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140.412</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182.008</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245.890</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317.164</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352.553</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t>Arrecadação Previdenciária</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108.434</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140.412</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182.008</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245.890</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307.147</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350.272</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ind w:firstLine="361"/>
              <w:rPr>
                <w:rFonts w:ascii="Calibri" w:hAnsi="Calibri"/>
                <w:sz w:val="20"/>
                <w:szCs w:val="20"/>
                <w:lang w:eastAsia="en-US"/>
              </w:rPr>
            </w:pPr>
            <w:r w:rsidRPr="004637C8">
              <w:rPr>
                <w:rFonts w:ascii="Calibri" w:hAnsi="Calibri"/>
                <w:bCs/>
                <w:sz w:val="18"/>
                <w:szCs w:val="18"/>
              </w:rPr>
              <w:t>Urbana</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105.086</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136.167</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177.444</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240.534</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300.991</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343.191</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ind w:firstLine="361"/>
              <w:rPr>
                <w:rFonts w:ascii="Calibri" w:hAnsi="Calibri"/>
                <w:sz w:val="20"/>
                <w:szCs w:val="20"/>
                <w:lang w:eastAsia="en-US"/>
              </w:rPr>
            </w:pPr>
            <w:r w:rsidRPr="004637C8">
              <w:rPr>
                <w:rFonts w:ascii="Calibri" w:hAnsi="Calibri"/>
                <w:bCs/>
                <w:sz w:val="18"/>
                <w:szCs w:val="18"/>
              </w:rPr>
              <w:t>Rural</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3.348</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4.245</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4.564</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5.356</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6.156</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7.081</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t xml:space="preserve">Compensações não repassadas </w:t>
            </w:r>
            <w:r w:rsidRPr="004637C8">
              <w:rPr>
                <w:rFonts w:ascii="Calibri" w:hAnsi="Calibri"/>
                <w:bCs/>
                <w:sz w:val="18"/>
                <w:szCs w:val="18"/>
                <w:vertAlign w:val="superscript"/>
              </w:rPr>
              <w:t>(2)</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 </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 </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 </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 </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10.017</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2.281</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t>Cofins</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89.597</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101.835</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116.759</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159.625</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199.410</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200.926</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t>CSLL</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26.232</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33.644</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43.592</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57.582</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62.545</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59.665</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t>PIS/Pasep</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22.083</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26.116</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31.031</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41.584</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51.065</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53.071</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t xml:space="preserve">Outras contribuições </w:t>
            </w:r>
            <w:r w:rsidRPr="004637C8">
              <w:rPr>
                <w:rFonts w:ascii="Calibri" w:hAnsi="Calibri"/>
                <w:bCs/>
                <w:sz w:val="18"/>
                <w:szCs w:val="18"/>
                <w:vertAlign w:val="superscript"/>
              </w:rPr>
              <w:t>(3)</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30.699</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38.274</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2.497</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3.414</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4.055</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5.423</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t>2. RECEITAS DE ENTIDADES DA SEGURIDADE</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11.704</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12.603</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14.289</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16.787</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15.078</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20.534</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t>Recursos Próprios do MDS</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87</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43</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160</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86</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239</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137</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t>Recursos Próprios do MPS</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798</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962</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503</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672</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819</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1.078</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t>Recursos Próprios do MS</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947</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1.888</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2.542</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3.220</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3.858</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4.257</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t>Recursos Próprios do FAT</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9.507</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9.304</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10.652</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12.240</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9.550</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14.160</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t>Recursos Próprios dos HU</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102</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110</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50</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58</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103</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238</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t>Taxas, multas e juros da Fiscalização.</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264</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296</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381</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511</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509</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sz w:val="18"/>
                <w:szCs w:val="18"/>
              </w:rPr>
              <w:t>664</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sz w:val="18"/>
                <w:szCs w:val="18"/>
              </w:rPr>
              <w:t xml:space="preserve">3. Contrapartida do Orçamento Fiscal EPU </w:t>
            </w:r>
            <w:r w:rsidRPr="004637C8">
              <w:rPr>
                <w:rFonts w:ascii="Calibri" w:hAnsi="Calibri"/>
                <w:bCs/>
                <w:sz w:val="18"/>
                <w:szCs w:val="18"/>
                <w:vertAlign w:val="superscript"/>
              </w:rPr>
              <w:t>(4)</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1.052</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1.766</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2.015</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2.256</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1.782</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bCs/>
                <w:sz w:val="18"/>
                <w:szCs w:val="18"/>
              </w:rPr>
              <w:t>2.226</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rPr>
                <w:rFonts w:ascii="Calibri" w:hAnsi="Calibri"/>
                <w:sz w:val="20"/>
                <w:szCs w:val="20"/>
                <w:lang w:eastAsia="en-US"/>
              </w:rPr>
            </w:pPr>
            <w:r w:rsidRPr="004637C8">
              <w:rPr>
                <w:rFonts w:ascii="Calibri" w:hAnsi="Calibri"/>
                <w:bCs/>
                <w:color w:val="FFFFFF"/>
                <w:sz w:val="22"/>
                <w:szCs w:val="21"/>
              </w:rPr>
              <w:t xml:space="preserve">TOTAL DE RECEITAS </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sz w:val="20"/>
                <w:szCs w:val="20"/>
                <w:lang w:eastAsia="en-US"/>
              </w:rPr>
            </w:pPr>
            <w:r w:rsidRPr="004637C8">
              <w:rPr>
                <w:rFonts w:ascii="Calibri" w:hAnsi="Calibri"/>
                <w:bCs/>
                <w:color w:val="FFFFFF"/>
                <w:sz w:val="20"/>
                <w:szCs w:val="20"/>
              </w:rPr>
              <w:t>289.801</w:t>
            </w:r>
          </w:p>
        </w:tc>
        <w:tc>
          <w:tcPr>
            <w:tcW w:w="939"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sz w:val="20"/>
                <w:szCs w:val="20"/>
                <w:lang w:eastAsia="en-US"/>
              </w:rPr>
            </w:pPr>
            <w:r w:rsidRPr="004637C8">
              <w:rPr>
                <w:rFonts w:ascii="Calibri" w:hAnsi="Calibri"/>
                <w:bCs/>
                <w:color w:val="FFFFFF"/>
                <w:sz w:val="20"/>
                <w:szCs w:val="20"/>
              </w:rPr>
              <w:t>354.649</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sz w:val="20"/>
                <w:szCs w:val="20"/>
                <w:lang w:eastAsia="en-US"/>
              </w:rPr>
            </w:pPr>
            <w:r w:rsidRPr="004637C8">
              <w:rPr>
                <w:rFonts w:ascii="Calibri" w:hAnsi="Calibri"/>
                <w:bCs/>
                <w:color w:val="FFFFFF"/>
                <w:sz w:val="20"/>
                <w:szCs w:val="20"/>
              </w:rPr>
              <w:t>392.191</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sz w:val="20"/>
                <w:szCs w:val="20"/>
                <w:lang w:eastAsia="en-US"/>
              </w:rPr>
            </w:pPr>
            <w:r w:rsidRPr="004637C8">
              <w:rPr>
                <w:rFonts w:ascii="Calibri" w:hAnsi="Calibri"/>
                <w:bCs/>
                <w:color w:val="FFFFFF"/>
                <w:sz w:val="20"/>
                <w:szCs w:val="20"/>
              </w:rPr>
              <w:t>527.137</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sz w:val="20"/>
                <w:szCs w:val="20"/>
                <w:lang w:eastAsia="en-US"/>
              </w:rPr>
            </w:pPr>
            <w:r w:rsidRPr="004637C8">
              <w:rPr>
                <w:rFonts w:ascii="Calibri" w:hAnsi="Calibri"/>
                <w:bCs/>
                <w:color w:val="FFFFFF"/>
                <w:sz w:val="20"/>
                <w:szCs w:val="20"/>
              </w:rPr>
              <w:t>651.099</w:t>
            </w:r>
          </w:p>
        </w:tc>
        <w:tc>
          <w:tcPr>
            <w:tcW w:w="975"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sz w:val="20"/>
                <w:szCs w:val="20"/>
                <w:lang w:eastAsia="en-US"/>
              </w:rPr>
            </w:pPr>
            <w:r w:rsidRPr="004637C8">
              <w:rPr>
                <w:rFonts w:ascii="Calibri" w:hAnsi="Calibri"/>
                <w:bCs/>
                <w:color w:val="FFFFFF"/>
                <w:sz w:val="20"/>
                <w:szCs w:val="20"/>
              </w:rPr>
              <w:t>694.397</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bCs/>
                <w:sz w:val="22"/>
                <w:szCs w:val="21"/>
              </w:rPr>
            </w:pP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center"/>
              <w:rPr>
                <w:rFonts w:ascii="Calibri" w:hAnsi="Calibri"/>
                <w:bCs/>
                <w:sz w:val="22"/>
                <w:szCs w:val="21"/>
              </w:rPr>
            </w:pP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center"/>
              <w:rPr>
                <w:rFonts w:ascii="Calibri" w:hAnsi="Calibri"/>
                <w:bCs/>
                <w:sz w:val="22"/>
                <w:szCs w:val="21"/>
              </w:rPr>
            </w:pP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center"/>
              <w:rPr>
                <w:rFonts w:ascii="Calibri" w:hAnsi="Calibri"/>
                <w:bCs/>
                <w:sz w:val="22"/>
                <w:szCs w:val="21"/>
              </w:rPr>
            </w:pP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center"/>
              <w:rPr>
                <w:rFonts w:ascii="Calibri" w:hAnsi="Calibri"/>
                <w:bCs/>
                <w:sz w:val="22"/>
                <w:szCs w:val="21"/>
              </w:rPr>
            </w:pP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center"/>
              <w:rPr>
                <w:rFonts w:ascii="Calibri" w:hAnsi="Calibri"/>
                <w:bCs/>
                <w:sz w:val="22"/>
                <w:szCs w:val="21"/>
              </w:rPr>
            </w:pP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center"/>
              <w:rPr>
                <w:rFonts w:ascii="Calibri" w:hAnsi="Calibri"/>
                <w:bCs/>
                <w:sz w:val="22"/>
                <w:szCs w:val="21"/>
              </w:rPr>
            </w:pP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rPr>
                <w:rFonts w:ascii="Calibri" w:hAnsi="Calibri"/>
                <w:sz w:val="20"/>
                <w:szCs w:val="20"/>
                <w:lang w:eastAsia="en-US"/>
              </w:rPr>
            </w:pPr>
            <w:r w:rsidRPr="004637C8">
              <w:rPr>
                <w:rFonts w:ascii="Calibri" w:hAnsi="Calibri"/>
                <w:bCs/>
                <w:sz w:val="22"/>
                <w:szCs w:val="18"/>
              </w:rPr>
              <w:t>DESPESAS REALIZADAS</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center"/>
              <w:rPr>
                <w:rFonts w:ascii="Calibri" w:hAnsi="Calibri"/>
                <w:sz w:val="20"/>
                <w:szCs w:val="20"/>
                <w:lang w:eastAsia="en-US"/>
              </w:rPr>
            </w:pPr>
            <w:r w:rsidRPr="004637C8">
              <w:rPr>
                <w:rFonts w:ascii="Calibri" w:hAnsi="Calibri"/>
                <w:bCs/>
                <w:sz w:val="22"/>
                <w:szCs w:val="18"/>
              </w:rPr>
              <w:t>2005</w:t>
            </w:r>
          </w:p>
        </w:tc>
        <w:tc>
          <w:tcPr>
            <w:tcW w:w="939"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center"/>
              <w:rPr>
                <w:rFonts w:ascii="Calibri" w:hAnsi="Calibri"/>
                <w:sz w:val="20"/>
                <w:szCs w:val="20"/>
                <w:lang w:eastAsia="en-US"/>
              </w:rPr>
            </w:pPr>
            <w:r w:rsidRPr="004637C8">
              <w:rPr>
                <w:rFonts w:ascii="Calibri" w:hAnsi="Calibri"/>
                <w:bCs/>
                <w:sz w:val="22"/>
                <w:szCs w:val="18"/>
              </w:rPr>
              <w:t>2007</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center"/>
              <w:rPr>
                <w:rFonts w:ascii="Calibri" w:hAnsi="Calibri"/>
                <w:sz w:val="20"/>
                <w:szCs w:val="20"/>
                <w:lang w:eastAsia="en-US"/>
              </w:rPr>
            </w:pPr>
            <w:r w:rsidRPr="004637C8">
              <w:rPr>
                <w:rFonts w:ascii="Calibri" w:hAnsi="Calibri"/>
                <w:bCs/>
                <w:sz w:val="22"/>
                <w:szCs w:val="18"/>
              </w:rPr>
              <w:t>2009</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center"/>
              <w:rPr>
                <w:rFonts w:ascii="Calibri" w:hAnsi="Calibri"/>
                <w:sz w:val="20"/>
                <w:szCs w:val="20"/>
                <w:lang w:eastAsia="en-US"/>
              </w:rPr>
            </w:pPr>
            <w:r w:rsidRPr="004637C8">
              <w:rPr>
                <w:rFonts w:ascii="Calibri" w:hAnsi="Calibri"/>
                <w:bCs/>
                <w:sz w:val="22"/>
                <w:szCs w:val="18"/>
              </w:rPr>
              <w:t>2011</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center"/>
              <w:rPr>
                <w:rFonts w:ascii="Calibri" w:hAnsi="Calibri"/>
                <w:sz w:val="20"/>
                <w:szCs w:val="20"/>
                <w:lang w:eastAsia="en-US"/>
              </w:rPr>
            </w:pPr>
            <w:r w:rsidRPr="004637C8">
              <w:rPr>
                <w:rFonts w:ascii="Calibri" w:hAnsi="Calibri"/>
                <w:bCs/>
                <w:sz w:val="22"/>
                <w:szCs w:val="18"/>
              </w:rPr>
              <w:t>2013</w:t>
            </w:r>
          </w:p>
        </w:tc>
        <w:tc>
          <w:tcPr>
            <w:tcW w:w="975"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center"/>
              <w:rPr>
                <w:rFonts w:ascii="Calibri" w:hAnsi="Calibri"/>
                <w:sz w:val="20"/>
                <w:szCs w:val="20"/>
                <w:lang w:eastAsia="en-US"/>
              </w:rPr>
            </w:pPr>
            <w:r w:rsidRPr="004637C8">
              <w:rPr>
                <w:rFonts w:ascii="Calibri" w:hAnsi="Calibri"/>
                <w:bCs/>
                <w:sz w:val="22"/>
                <w:szCs w:val="18"/>
              </w:rPr>
              <w:t>2015</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color w:val="231F20"/>
                <w:sz w:val="18"/>
                <w:szCs w:val="18"/>
              </w:rPr>
              <w:t>1. BENEFÍCIOS PREVIDENCIÁRIOS (1)</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145.816</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182.575</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225.095</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281.438</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357.003</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436.090</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ind w:firstLine="542"/>
              <w:rPr>
                <w:rFonts w:ascii="Calibri" w:hAnsi="Calibri"/>
                <w:sz w:val="20"/>
                <w:szCs w:val="20"/>
                <w:lang w:eastAsia="en-US"/>
              </w:rPr>
            </w:pPr>
            <w:r w:rsidRPr="004637C8">
              <w:rPr>
                <w:rFonts w:ascii="Calibri" w:hAnsi="Calibri"/>
                <w:bCs/>
                <w:color w:val="231F20"/>
                <w:sz w:val="18"/>
                <w:szCs w:val="18"/>
              </w:rPr>
              <w:t>Previdenciários urbanos</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118.626</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147.386</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178.999</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218.616</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274.652</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336.296</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ind w:firstLine="542"/>
              <w:rPr>
                <w:rFonts w:ascii="Calibri" w:hAnsi="Calibri"/>
                <w:sz w:val="20"/>
                <w:szCs w:val="20"/>
                <w:lang w:eastAsia="en-US"/>
              </w:rPr>
            </w:pPr>
            <w:r w:rsidRPr="004637C8">
              <w:rPr>
                <w:rFonts w:ascii="Calibri" w:hAnsi="Calibri"/>
                <w:bCs/>
                <w:color w:val="231F20"/>
                <w:sz w:val="18"/>
                <w:szCs w:val="18"/>
              </w:rPr>
              <w:t>Previdenciários rurais</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27.190</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35.189</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44.850</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61.435</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80.355</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98.041</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ind w:firstLine="542"/>
              <w:rPr>
                <w:rFonts w:ascii="Calibri" w:hAnsi="Calibri"/>
                <w:sz w:val="20"/>
                <w:szCs w:val="20"/>
                <w:lang w:eastAsia="en-US"/>
              </w:rPr>
            </w:pPr>
            <w:r w:rsidRPr="004637C8">
              <w:rPr>
                <w:rFonts w:ascii="Calibri" w:hAnsi="Calibri"/>
                <w:bCs/>
                <w:color w:val="231F20"/>
                <w:sz w:val="18"/>
                <w:szCs w:val="18"/>
              </w:rPr>
              <w:t>Compensação previdenciária (5)</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1.246</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1.387</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1.996</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1.753</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color w:val="231F20"/>
                <w:sz w:val="18"/>
                <w:szCs w:val="18"/>
              </w:rPr>
              <w:t>2. BENEFÍCIOS ASSISTENCIAIS (6)</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9.335</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13.468</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18.712</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25.116</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33.869</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41.798</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color w:val="231F20"/>
                <w:sz w:val="18"/>
                <w:szCs w:val="18"/>
              </w:rPr>
              <w:t>3. BOLSA FAMÍLIA E OUTRAS TRANSFERÊNCIAS</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6.769</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8.943</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11.877</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16.767</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24.004</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26.921</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color w:val="231F20"/>
                <w:sz w:val="18"/>
                <w:szCs w:val="18"/>
              </w:rPr>
              <w:t>4. EPU – BENEFÍCIOS DE LEGISLAÇÃO ESPECIAL</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1.052</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1.766</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2.015</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2.256</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1.782</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2.226</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color w:val="231F20"/>
                <w:sz w:val="18"/>
                <w:szCs w:val="18"/>
              </w:rPr>
              <w:t>5. SAÚDE: DESPESAS DO MS (7)</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34.517</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45.798</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58.270</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72.332</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85.429</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102.206</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color w:val="231F20"/>
                <w:sz w:val="18"/>
                <w:szCs w:val="18"/>
              </w:rPr>
              <w:t>6. ASSISTÊNCIA SOCIAL: DESPESAS DO MDS (7)</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1.716</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2.302</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2.746</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4.033</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6.227</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5.389</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color w:val="231F20"/>
                <w:sz w:val="18"/>
                <w:szCs w:val="18"/>
              </w:rPr>
              <w:t>7. PREVIDÊNCIA SOCIAL: DESPESAS DO MPS (7)</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3.404</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4.792</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6.265</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6.767</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7.401</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8.197</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color w:val="231F20"/>
                <w:sz w:val="18"/>
                <w:szCs w:val="18"/>
              </w:rPr>
              <w:t>8. OUTRAS AÇÕES DA SEGURIDADE SOCIAL</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2.384</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4.404</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7.244</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7.875</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11.871</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11.547</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color w:val="231F20"/>
                <w:sz w:val="18"/>
                <w:szCs w:val="18"/>
              </w:rPr>
              <w:t>9. BENEFÍCIOS FAT</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11.375</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17.951</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27.092</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34.159</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46.561</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48.180</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sz w:val="20"/>
                <w:szCs w:val="20"/>
                <w:lang w:eastAsia="en-US"/>
              </w:rPr>
            </w:pPr>
            <w:r w:rsidRPr="004637C8">
              <w:rPr>
                <w:rFonts w:ascii="Calibri" w:hAnsi="Calibri"/>
                <w:bCs/>
                <w:color w:val="231F20"/>
                <w:sz w:val="18"/>
                <w:szCs w:val="18"/>
              </w:rPr>
              <w:t>10. OUTRAS AÇÕES DO FAT</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547</w:t>
            </w: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685</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650</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579</w:t>
            </w: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505</w:t>
            </w: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sz w:val="20"/>
                <w:szCs w:val="20"/>
                <w:lang w:eastAsia="en-US"/>
              </w:rPr>
            </w:pPr>
            <w:r w:rsidRPr="004637C8">
              <w:rPr>
                <w:rFonts w:ascii="Calibri" w:hAnsi="Calibri"/>
                <w:color w:val="231F20"/>
                <w:sz w:val="18"/>
                <w:szCs w:val="18"/>
              </w:rPr>
              <w:t>506</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rPr>
                <w:rFonts w:ascii="Calibri" w:hAnsi="Calibri"/>
                <w:sz w:val="20"/>
                <w:szCs w:val="20"/>
                <w:lang w:eastAsia="en-US"/>
              </w:rPr>
            </w:pPr>
            <w:r w:rsidRPr="004637C8">
              <w:rPr>
                <w:rFonts w:ascii="Calibri" w:hAnsi="Calibri"/>
                <w:bCs/>
                <w:color w:val="FFFFFF"/>
                <w:sz w:val="22"/>
                <w:szCs w:val="21"/>
              </w:rPr>
              <w:t>TOTAL DE DESPESAS</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bCs/>
                <w:color w:val="FFFFFF"/>
                <w:sz w:val="20"/>
                <w:szCs w:val="20"/>
              </w:rPr>
            </w:pPr>
            <w:r w:rsidRPr="004637C8">
              <w:rPr>
                <w:rFonts w:ascii="Calibri" w:hAnsi="Calibri"/>
                <w:bCs/>
                <w:color w:val="FFFFFF"/>
                <w:sz w:val="20"/>
                <w:szCs w:val="20"/>
              </w:rPr>
              <w:t>216.915</w:t>
            </w:r>
          </w:p>
        </w:tc>
        <w:tc>
          <w:tcPr>
            <w:tcW w:w="939"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bCs/>
                <w:color w:val="FFFFFF"/>
                <w:sz w:val="20"/>
                <w:szCs w:val="20"/>
              </w:rPr>
            </w:pPr>
            <w:r w:rsidRPr="004637C8">
              <w:rPr>
                <w:rFonts w:ascii="Calibri" w:hAnsi="Calibri"/>
                <w:bCs/>
                <w:color w:val="FFFFFF"/>
                <w:sz w:val="20"/>
                <w:szCs w:val="20"/>
              </w:rPr>
              <w:t>282.685</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bCs/>
                <w:color w:val="FFFFFF"/>
                <w:sz w:val="20"/>
                <w:szCs w:val="20"/>
              </w:rPr>
            </w:pPr>
            <w:r w:rsidRPr="004637C8">
              <w:rPr>
                <w:rFonts w:ascii="Calibri" w:hAnsi="Calibri"/>
                <w:bCs/>
                <w:color w:val="FFFFFF"/>
                <w:sz w:val="20"/>
                <w:szCs w:val="20"/>
              </w:rPr>
              <w:t>359.968</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bCs/>
                <w:color w:val="FFFFFF"/>
                <w:sz w:val="20"/>
                <w:szCs w:val="20"/>
              </w:rPr>
            </w:pPr>
            <w:r w:rsidRPr="004637C8">
              <w:rPr>
                <w:rFonts w:ascii="Calibri" w:hAnsi="Calibri"/>
                <w:bCs/>
                <w:color w:val="FFFFFF"/>
                <w:sz w:val="20"/>
                <w:szCs w:val="20"/>
              </w:rPr>
              <w:t>451.323</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bCs/>
                <w:color w:val="FFFFFF"/>
                <w:sz w:val="20"/>
                <w:szCs w:val="20"/>
              </w:rPr>
            </w:pPr>
            <w:r w:rsidRPr="004637C8">
              <w:rPr>
                <w:rFonts w:ascii="Calibri" w:hAnsi="Calibri"/>
                <w:bCs/>
                <w:color w:val="FFFFFF"/>
                <w:sz w:val="20"/>
                <w:szCs w:val="20"/>
              </w:rPr>
              <w:t>574.653</w:t>
            </w:r>
          </w:p>
        </w:tc>
        <w:tc>
          <w:tcPr>
            <w:tcW w:w="975"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bCs/>
                <w:color w:val="FFFFFF"/>
                <w:sz w:val="20"/>
                <w:szCs w:val="20"/>
              </w:rPr>
            </w:pPr>
            <w:r w:rsidRPr="004637C8">
              <w:rPr>
                <w:rFonts w:ascii="Calibri" w:hAnsi="Calibri"/>
                <w:bCs/>
                <w:color w:val="FFFFFF"/>
                <w:sz w:val="20"/>
                <w:szCs w:val="20"/>
              </w:rPr>
              <w:t>683.061</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rFonts w:ascii="Calibri" w:hAnsi="Calibri"/>
                <w:bCs/>
                <w:sz w:val="21"/>
                <w:szCs w:val="21"/>
              </w:rPr>
            </w:pP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bCs/>
                <w:sz w:val="21"/>
                <w:szCs w:val="21"/>
              </w:rPr>
            </w:pP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bCs/>
                <w:sz w:val="21"/>
                <w:szCs w:val="21"/>
              </w:rPr>
            </w:pP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bCs/>
                <w:sz w:val="21"/>
                <w:szCs w:val="21"/>
              </w:rPr>
            </w:pP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bCs/>
                <w:sz w:val="21"/>
                <w:szCs w:val="21"/>
              </w:rPr>
            </w:pP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bCs/>
                <w:sz w:val="21"/>
                <w:szCs w:val="21"/>
              </w:rPr>
            </w:pP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bCs/>
                <w:sz w:val="21"/>
                <w:szCs w:val="21"/>
              </w:rPr>
            </w:pP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rPr>
                <w:rFonts w:ascii="Calibri" w:hAnsi="Calibri"/>
                <w:sz w:val="20"/>
                <w:szCs w:val="20"/>
                <w:lang w:eastAsia="en-US"/>
              </w:rPr>
            </w:pPr>
            <w:r w:rsidRPr="004637C8">
              <w:rPr>
                <w:rFonts w:ascii="Calibri" w:hAnsi="Calibri"/>
                <w:bCs/>
                <w:color w:val="FFFFFF"/>
                <w:sz w:val="22"/>
                <w:szCs w:val="21"/>
              </w:rPr>
              <w:t>RESULTADO DA SEGURIDADE SOCIAL</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sz w:val="20"/>
                <w:szCs w:val="20"/>
                <w:lang w:eastAsia="en-US"/>
              </w:rPr>
            </w:pPr>
            <w:r w:rsidRPr="004637C8">
              <w:rPr>
                <w:rFonts w:ascii="Calibri" w:hAnsi="Calibri"/>
                <w:bCs/>
                <w:color w:val="FFFFFF"/>
                <w:sz w:val="22"/>
                <w:szCs w:val="21"/>
              </w:rPr>
              <w:t>72.886</w:t>
            </w:r>
          </w:p>
        </w:tc>
        <w:tc>
          <w:tcPr>
            <w:tcW w:w="939"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sz w:val="20"/>
                <w:szCs w:val="20"/>
                <w:lang w:eastAsia="en-US"/>
              </w:rPr>
            </w:pPr>
            <w:r w:rsidRPr="004637C8">
              <w:rPr>
                <w:rFonts w:ascii="Calibri" w:hAnsi="Calibri"/>
                <w:bCs/>
                <w:color w:val="FFFFFF"/>
                <w:sz w:val="22"/>
                <w:szCs w:val="21"/>
              </w:rPr>
              <w:t>71.965</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sz w:val="20"/>
                <w:szCs w:val="20"/>
                <w:lang w:eastAsia="en-US"/>
              </w:rPr>
            </w:pPr>
            <w:r w:rsidRPr="004637C8">
              <w:rPr>
                <w:rFonts w:ascii="Calibri" w:hAnsi="Calibri"/>
                <w:bCs/>
                <w:color w:val="FFFFFF"/>
                <w:sz w:val="22"/>
                <w:szCs w:val="21"/>
              </w:rPr>
              <w:t>32.223</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sz w:val="20"/>
                <w:szCs w:val="20"/>
                <w:lang w:eastAsia="en-US"/>
              </w:rPr>
            </w:pPr>
            <w:r w:rsidRPr="004637C8">
              <w:rPr>
                <w:rFonts w:ascii="Calibri" w:hAnsi="Calibri"/>
                <w:bCs/>
                <w:color w:val="FFFFFF"/>
                <w:sz w:val="22"/>
                <w:szCs w:val="21"/>
              </w:rPr>
              <w:t>75.814</w:t>
            </w:r>
          </w:p>
        </w:tc>
        <w:tc>
          <w:tcPr>
            <w:tcW w:w="940"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sz w:val="20"/>
                <w:szCs w:val="20"/>
                <w:lang w:eastAsia="en-US"/>
              </w:rPr>
            </w:pPr>
            <w:r w:rsidRPr="004637C8">
              <w:rPr>
                <w:rFonts w:ascii="Calibri" w:hAnsi="Calibri"/>
                <w:bCs/>
                <w:color w:val="FFFFFF"/>
                <w:sz w:val="22"/>
                <w:szCs w:val="21"/>
              </w:rPr>
              <w:t>76.446</w:t>
            </w:r>
          </w:p>
        </w:tc>
        <w:tc>
          <w:tcPr>
            <w:tcW w:w="975" w:type="dxa"/>
            <w:tcBorders>
              <w:top w:val="single" w:sz="4" w:space="0" w:color="B6DDE8"/>
              <w:left w:val="single" w:sz="4" w:space="0" w:color="B6DDE8"/>
              <w:bottom w:val="single" w:sz="4" w:space="0" w:color="B6DDE8"/>
              <w:right w:val="single" w:sz="4" w:space="0" w:color="B6DDE8"/>
            </w:tcBorders>
            <w:shd w:val="clear" w:color="auto" w:fill="002060"/>
          </w:tcPr>
          <w:p w:rsidR="004637C8" w:rsidRPr="004637C8" w:rsidRDefault="004637C8" w:rsidP="004637C8">
            <w:pPr>
              <w:jc w:val="right"/>
              <w:rPr>
                <w:rFonts w:ascii="Calibri" w:hAnsi="Calibri"/>
                <w:sz w:val="20"/>
                <w:szCs w:val="20"/>
                <w:lang w:eastAsia="en-US"/>
              </w:rPr>
            </w:pPr>
            <w:r w:rsidRPr="004637C8">
              <w:rPr>
                <w:rFonts w:ascii="Calibri" w:hAnsi="Calibri"/>
                <w:bCs/>
                <w:color w:val="FFFFFF"/>
                <w:sz w:val="22"/>
                <w:szCs w:val="21"/>
              </w:rPr>
              <w:t>11.337</w:t>
            </w:r>
          </w:p>
        </w:tc>
      </w:tr>
      <w:tr w:rsidR="004637C8" w:rsidRPr="004637C8" w:rsidTr="0020202E">
        <w:trPr>
          <w:trHeight w:val="20"/>
        </w:trPr>
        <w:tc>
          <w:tcPr>
            <w:tcW w:w="3981"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jc w:val="right"/>
              <w:rPr>
                <w:rFonts w:ascii="Calibri" w:hAnsi="Calibri"/>
                <w:bCs/>
                <w:sz w:val="21"/>
                <w:szCs w:val="21"/>
              </w:rPr>
            </w:pP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sz w:val="21"/>
                <w:szCs w:val="21"/>
              </w:rPr>
            </w:pPr>
          </w:p>
        </w:tc>
        <w:tc>
          <w:tcPr>
            <w:tcW w:w="939"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sz w:val="21"/>
                <w:szCs w:val="21"/>
              </w:rPr>
            </w:pP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sz w:val="21"/>
                <w:szCs w:val="21"/>
              </w:rPr>
            </w:pP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sz w:val="21"/>
                <w:szCs w:val="21"/>
              </w:rPr>
            </w:pPr>
          </w:p>
        </w:tc>
        <w:tc>
          <w:tcPr>
            <w:tcW w:w="940"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sz w:val="21"/>
                <w:szCs w:val="21"/>
              </w:rPr>
            </w:pPr>
          </w:p>
        </w:tc>
        <w:tc>
          <w:tcPr>
            <w:tcW w:w="975" w:type="dxa"/>
            <w:tcBorders>
              <w:top w:val="single" w:sz="4" w:space="0" w:color="B6DDE8"/>
              <w:left w:val="single" w:sz="4" w:space="0" w:color="B6DDE8"/>
              <w:bottom w:val="single" w:sz="4" w:space="0" w:color="B6DDE8"/>
              <w:right w:val="single" w:sz="4" w:space="0" w:color="B6DDE8"/>
            </w:tcBorders>
            <w:shd w:val="clear" w:color="auto" w:fill="auto"/>
          </w:tcPr>
          <w:p w:rsidR="004637C8" w:rsidRPr="004637C8" w:rsidRDefault="004637C8" w:rsidP="004637C8">
            <w:pPr>
              <w:rPr>
                <w:sz w:val="21"/>
                <w:szCs w:val="21"/>
              </w:rPr>
            </w:pPr>
          </w:p>
        </w:tc>
      </w:tr>
    </w:tbl>
    <w:p w:rsidR="004637C8" w:rsidRPr="004637C8" w:rsidRDefault="004637C8" w:rsidP="004637C8">
      <w:pPr>
        <w:spacing w:before="100"/>
        <w:jc w:val="both"/>
        <w:textAlignment w:val="baseline"/>
        <w:rPr>
          <w:rFonts w:ascii="Georgia" w:hAnsi="Georgia"/>
          <w:sz w:val="20"/>
        </w:rPr>
      </w:pPr>
    </w:p>
    <w:p w:rsidR="004637C8" w:rsidRPr="00331FE3" w:rsidRDefault="004637C8" w:rsidP="004637C8">
      <w:pPr>
        <w:jc w:val="both"/>
        <w:rPr>
          <w:rFonts w:ascii="Calibri" w:hAnsi="Calibri"/>
          <w:color w:val="000000"/>
          <w:sz w:val="16"/>
          <w:szCs w:val="16"/>
        </w:rPr>
      </w:pPr>
      <w:r w:rsidRPr="00331FE3">
        <w:rPr>
          <w:rFonts w:ascii="Calibri" w:hAnsi="Calibri"/>
          <w:color w:val="000000"/>
          <w:sz w:val="16"/>
          <w:szCs w:val="16"/>
        </w:rPr>
        <w:t xml:space="preserve">Fonte: ANFIP e Fundação ANFIP (Análise da Seguridade Social 2015). Sistema Integrado de Administração Financeira do Governo Federal – SIAFI – extração Siga Brasil – Senado Federal; para os dados do RGPS, o fluxo de caixa do Ministério da Previdência Social – MPS; e para as compensações não repassadas, ANFIP.   </w:t>
      </w:r>
    </w:p>
    <w:p w:rsidR="004637C8" w:rsidRPr="00331FE3" w:rsidRDefault="004637C8" w:rsidP="004637C8">
      <w:pPr>
        <w:jc w:val="both"/>
        <w:rPr>
          <w:rFonts w:ascii="Calibri" w:hAnsi="Calibri"/>
          <w:color w:val="000000"/>
          <w:sz w:val="16"/>
          <w:szCs w:val="16"/>
        </w:rPr>
      </w:pPr>
      <w:r w:rsidRPr="00331FE3">
        <w:rPr>
          <w:rFonts w:ascii="Calibri" w:hAnsi="Calibri"/>
          <w:color w:val="000000"/>
          <w:sz w:val="16"/>
          <w:szCs w:val="16"/>
        </w:rPr>
        <w:t>Notas:</w:t>
      </w:r>
    </w:p>
    <w:p w:rsidR="004637C8" w:rsidRPr="00331FE3" w:rsidRDefault="004637C8" w:rsidP="004637C8">
      <w:pPr>
        <w:rPr>
          <w:rFonts w:ascii="Calibri" w:hAnsi="Calibri"/>
          <w:color w:val="000000"/>
          <w:sz w:val="16"/>
          <w:szCs w:val="16"/>
        </w:rPr>
      </w:pPr>
      <w:r w:rsidRPr="00331FE3">
        <w:rPr>
          <w:rFonts w:ascii="Calibri" w:hAnsi="Calibri"/>
          <w:color w:val="000000"/>
          <w:sz w:val="16"/>
          <w:szCs w:val="16"/>
        </w:rPr>
        <w:t xml:space="preserve">[1] receitas e despesas previdenciárias líquidas acrescidas das compensações pela desoneração da folha de pagamentos; em despesas com benefícios previdenciários urbanos estão incluídos repasses de compensações previdenciárias a outros regimes; </w:t>
      </w:r>
    </w:p>
    <w:p w:rsidR="004637C8" w:rsidRPr="00331FE3" w:rsidRDefault="004637C8" w:rsidP="004637C8">
      <w:pPr>
        <w:rPr>
          <w:rFonts w:ascii="Calibri" w:hAnsi="Calibri"/>
          <w:color w:val="000000"/>
          <w:sz w:val="16"/>
          <w:szCs w:val="16"/>
        </w:rPr>
      </w:pPr>
      <w:r w:rsidRPr="00331FE3">
        <w:rPr>
          <w:rFonts w:ascii="Calibri" w:hAnsi="Calibri"/>
          <w:color w:val="000000"/>
          <w:sz w:val="16"/>
          <w:szCs w:val="16"/>
        </w:rPr>
        <w:t>[2] compensação pela desoneração da folha de pagamentos não repassada, dados atualizados;</w:t>
      </w:r>
    </w:p>
    <w:p w:rsidR="004637C8" w:rsidRPr="00331FE3" w:rsidRDefault="004637C8" w:rsidP="004637C8">
      <w:pPr>
        <w:rPr>
          <w:rFonts w:ascii="Calibri" w:hAnsi="Calibri"/>
          <w:color w:val="000000"/>
          <w:sz w:val="16"/>
          <w:szCs w:val="16"/>
        </w:rPr>
      </w:pPr>
      <w:r w:rsidRPr="00331FE3">
        <w:rPr>
          <w:rFonts w:ascii="Calibri" w:hAnsi="Calibri"/>
          <w:color w:val="000000"/>
          <w:sz w:val="16"/>
          <w:szCs w:val="16"/>
        </w:rPr>
        <w:t xml:space="preserve">[3] inclui receitas provenientes dos concursos de prognósticos e as receitas da CPMF, extinta em 2007; </w:t>
      </w:r>
    </w:p>
    <w:p w:rsidR="004637C8" w:rsidRPr="00331FE3" w:rsidRDefault="004637C8" w:rsidP="004637C8">
      <w:pPr>
        <w:rPr>
          <w:rFonts w:ascii="Calibri" w:hAnsi="Calibri"/>
          <w:color w:val="000000"/>
          <w:sz w:val="16"/>
          <w:szCs w:val="16"/>
        </w:rPr>
      </w:pPr>
      <w:r w:rsidRPr="00331FE3">
        <w:rPr>
          <w:rFonts w:ascii="Calibri" w:hAnsi="Calibri"/>
          <w:color w:val="000000"/>
          <w:sz w:val="16"/>
          <w:szCs w:val="16"/>
        </w:rPr>
        <w:t xml:space="preserve">[4] receitas dos hospitais universitários com a prestação de serviços Saúde, embora essa receita não seja típica da Seguridade Social, corresponde às despesas realizadas por essas unidades, computadas em Outras ações da Seguridade Social; </w:t>
      </w:r>
    </w:p>
    <w:p w:rsidR="004637C8" w:rsidRPr="00331FE3" w:rsidRDefault="004637C8" w:rsidP="004637C8">
      <w:pPr>
        <w:rPr>
          <w:rFonts w:ascii="Calibri" w:hAnsi="Calibri"/>
          <w:color w:val="000000"/>
          <w:sz w:val="16"/>
          <w:szCs w:val="16"/>
        </w:rPr>
      </w:pPr>
      <w:r w:rsidRPr="00331FE3">
        <w:rPr>
          <w:rFonts w:ascii="Calibri" w:hAnsi="Calibri"/>
          <w:color w:val="000000"/>
          <w:sz w:val="16"/>
          <w:szCs w:val="16"/>
        </w:rPr>
        <w:t xml:space="preserve">[5] corresponde às despesas com Encargos Previdenciários da União – EPU, de responsabilidade do Orçamento Fiscal; </w:t>
      </w:r>
    </w:p>
    <w:p w:rsidR="004637C8" w:rsidRPr="00331FE3" w:rsidRDefault="004637C8" w:rsidP="004637C8">
      <w:pPr>
        <w:rPr>
          <w:rFonts w:ascii="Calibri" w:hAnsi="Calibri"/>
          <w:color w:val="000000"/>
          <w:sz w:val="16"/>
          <w:szCs w:val="16"/>
        </w:rPr>
      </w:pPr>
      <w:r w:rsidRPr="00331FE3">
        <w:rPr>
          <w:rFonts w:ascii="Calibri" w:hAnsi="Calibri"/>
          <w:color w:val="000000"/>
          <w:sz w:val="16"/>
          <w:szCs w:val="16"/>
        </w:rPr>
        <w:t xml:space="preserve">[6] compensações com outros regimes previdenciários; </w:t>
      </w:r>
    </w:p>
    <w:p w:rsidR="004637C8" w:rsidRPr="00331FE3" w:rsidRDefault="004637C8" w:rsidP="004637C8">
      <w:pPr>
        <w:rPr>
          <w:rFonts w:ascii="Calibri" w:hAnsi="Calibri"/>
          <w:color w:val="000000"/>
          <w:sz w:val="16"/>
          <w:szCs w:val="16"/>
        </w:rPr>
      </w:pPr>
      <w:r w:rsidRPr="00331FE3">
        <w:rPr>
          <w:rFonts w:ascii="Calibri" w:hAnsi="Calibri"/>
          <w:color w:val="000000"/>
          <w:sz w:val="16"/>
          <w:szCs w:val="16"/>
        </w:rPr>
        <w:t xml:space="preserve">[7] as despesas com benefícios de prestação continuada [Loas e RMV] estão hoje agrupadas entre benefícios relativos a idosos e a pessoas com deficiência; </w:t>
      </w:r>
      <w:r w:rsidRPr="00331FE3">
        <w:rPr>
          <w:rFonts w:ascii="Calibri" w:hAnsi="Calibri"/>
          <w:color w:val="000000"/>
          <w:sz w:val="16"/>
          <w:szCs w:val="16"/>
        </w:rPr>
        <w:br/>
        <w:t xml:space="preserve">[8] incluem despesas de pessoal ativo e todas as demais relativas ao custeio e investimento. </w:t>
      </w:r>
    </w:p>
    <w:p w:rsidR="004637C8" w:rsidRPr="00331FE3" w:rsidRDefault="004637C8" w:rsidP="004637C8">
      <w:pPr>
        <w:textAlignment w:val="baseline"/>
        <w:rPr>
          <w:rFonts w:ascii="Georgia" w:hAnsi="Georgia"/>
          <w:sz w:val="16"/>
          <w:szCs w:val="16"/>
        </w:rPr>
      </w:pPr>
      <w:r w:rsidRPr="00331FE3">
        <w:rPr>
          <w:rFonts w:ascii="Calibri" w:hAnsi="Calibri"/>
          <w:color w:val="000000"/>
          <w:sz w:val="16"/>
          <w:szCs w:val="16"/>
        </w:rPr>
        <w:t xml:space="preserve">Elaboração: </w:t>
      </w:r>
      <w:r w:rsidRPr="00331FE3">
        <w:rPr>
          <w:rFonts w:ascii="Georgia" w:hAnsi="Georgia"/>
          <w:sz w:val="16"/>
          <w:szCs w:val="16"/>
        </w:rPr>
        <w:t>ANFIP e Fundação ANFIP.</w:t>
      </w:r>
      <w:r w:rsidRPr="00331FE3">
        <w:rPr>
          <w:rFonts w:ascii="Calibri" w:hAnsi="Calibri"/>
          <w:color w:val="000000"/>
          <w:sz w:val="16"/>
          <w:szCs w:val="16"/>
        </w:rPr>
        <w:t xml:space="preserve"> </w:t>
      </w:r>
    </w:p>
    <w:p w:rsidR="004637C8" w:rsidRPr="00331FE3" w:rsidRDefault="004637C8" w:rsidP="004637C8">
      <w:pPr>
        <w:textAlignment w:val="baseline"/>
        <w:rPr>
          <w:rFonts w:ascii="Georgia" w:hAnsi="Georgia"/>
          <w:sz w:val="16"/>
          <w:szCs w:val="16"/>
        </w:rPr>
      </w:pPr>
    </w:p>
    <w:p w:rsidR="004637C8" w:rsidRPr="004637C8" w:rsidRDefault="004637C8" w:rsidP="004637C8">
      <w:pPr>
        <w:spacing w:before="100" w:after="200" w:line="276" w:lineRule="auto"/>
        <w:rPr>
          <w:rFonts w:ascii="Georgia" w:hAnsi="Georgia"/>
          <w:b/>
          <w:szCs w:val="20"/>
        </w:rPr>
      </w:pPr>
      <w:r w:rsidRPr="004637C8">
        <w:rPr>
          <w:rFonts w:ascii="Georgia" w:hAnsi="Georgia"/>
          <w:b/>
          <w:szCs w:val="20"/>
        </w:rPr>
        <w:t>A Seguridade é superavitária mesmo com a DRU e as desonerações tributárias.</w:t>
      </w:r>
    </w:p>
    <w:p w:rsidR="004637C8" w:rsidRPr="004637C8" w:rsidRDefault="004637C8" w:rsidP="004637C8">
      <w:pPr>
        <w:widowControl w:val="0"/>
        <w:tabs>
          <w:tab w:val="left" w:pos="2617"/>
        </w:tabs>
        <w:autoSpaceDE w:val="0"/>
        <w:autoSpaceDN w:val="0"/>
        <w:adjustRightInd w:val="0"/>
        <w:spacing w:before="240"/>
        <w:jc w:val="both"/>
        <w:rPr>
          <w:rFonts w:ascii="Georgia" w:hAnsi="Georgia" w:cs="Helvetica Neue"/>
          <w:color w:val="943634"/>
          <w:lang w:eastAsia="en-US"/>
        </w:rPr>
      </w:pPr>
      <w:r w:rsidRPr="004637C8">
        <w:rPr>
          <w:rFonts w:ascii="Georgia" w:hAnsi="Georgia" w:cs="Helvetica Neue"/>
          <w:lang w:eastAsia="en-US"/>
        </w:rPr>
        <w:t xml:space="preserve">O que se tem é que estudos anuais realizados pela ANFIP revelam que a Seguridade Social sempre teria sido superavitária, se fossem seguidos os </w:t>
      </w:r>
      <w:r w:rsidRPr="004637C8">
        <w:rPr>
          <w:rFonts w:ascii="Georgia" w:hAnsi="Georgia" w:cs="Helvetica Neue"/>
          <w:lang w:eastAsia="en-US"/>
        </w:rPr>
        <w:lastRenderedPageBreak/>
        <w:t xml:space="preserve">procedimentos e fontes estabelecidas pela Constituição para o seu financiamento. A Seguridade Social é superavitária mesmo com a crescente subtração das suas receitas pela incidência da Desvinculação das Receitas da União (DRU) – estimada em cerca de R$60 bilhões nos últimos anos e, aproximadamente, R$500 bilhões nos últimos dez anos (2006 a 2015) </w:t>
      </w:r>
      <w:r w:rsidRPr="004637C8">
        <w:rPr>
          <w:rFonts w:ascii="Georgia" w:hAnsi="Georgia" w:cs="Helvetica Neue"/>
          <w:color w:val="943634"/>
          <w:lang w:eastAsia="en-US"/>
        </w:rPr>
        <w:t xml:space="preserve">(Figura 7).  </w:t>
      </w:r>
    </w:p>
    <w:p w:rsidR="004637C8" w:rsidRPr="004637C8" w:rsidRDefault="004637C8" w:rsidP="004637C8">
      <w:pPr>
        <w:spacing w:before="100"/>
        <w:textAlignment w:val="baseline"/>
        <w:rPr>
          <w:rFonts w:ascii="Georgia" w:hAnsi="Georgia"/>
        </w:rPr>
      </w:pPr>
    </w:p>
    <w:p w:rsidR="004637C8" w:rsidRPr="00566BE2" w:rsidRDefault="004637C8" w:rsidP="004637C8">
      <w:pPr>
        <w:spacing w:before="100"/>
        <w:textAlignment w:val="baseline"/>
        <w:rPr>
          <w:rFonts w:ascii="Georgia" w:hAnsi="Georgia"/>
          <w:sz w:val="22"/>
        </w:rPr>
      </w:pPr>
      <w:r w:rsidRPr="00566BE2">
        <w:rPr>
          <w:rFonts w:ascii="Georgia" w:hAnsi="Georgia"/>
          <w:sz w:val="22"/>
        </w:rPr>
        <w:t xml:space="preserve">FIGURA 7 – DRU – CAPTURA DE RECEITAS DA SEGURIDADE SOCIAL </w:t>
      </w:r>
    </w:p>
    <w:p w:rsidR="004637C8" w:rsidRPr="00566BE2" w:rsidRDefault="004637C8" w:rsidP="004637C8">
      <w:pPr>
        <w:spacing w:before="100"/>
        <w:textAlignment w:val="baseline"/>
        <w:rPr>
          <w:rFonts w:ascii="Calibri" w:hAnsi="Calibri"/>
          <w:sz w:val="22"/>
          <w:szCs w:val="20"/>
          <w:lang w:eastAsia="en-US"/>
        </w:rPr>
      </w:pPr>
      <w:r w:rsidRPr="00566BE2">
        <w:rPr>
          <w:rFonts w:ascii="Georgia" w:hAnsi="Georgia"/>
          <w:sz w:val="22"/>
        </w:rPr>
        <w:t>(EM R$ BILHÕES CORRENTES</w:t>
      </w:r>
      <w:r w:rsidR="009D1E50" w:rsidRPr="00566BE2">
        <w:rPr>
          <w:rFonts w:ascii="Georgia" w:hAnsi="Georgia"/>
          <w:sz w:val="22"/>
        </w:rPr>
        <w:t xml:space="preserve"> </w:t>
      </w:r>
      <w:r w:rsidRPr="00566BE2">
        <w:rPr>
          <w:rFonts w:ascii="Georgia" w:hAnsi="Georgia"/>
          <w:sz w:val="22"/>
        </w:rPr>
        <w:t>E % DO PIB</w:t>
      </w:r>
      <w:r w:rsidR="009D1E50" w:rsidRPr="00566BE2">
        <w:rPr>
          <w:rFonts w:ascii="Georgia" w:hAnsi="Georgia"/>
          <w:sz w:val="22"/>
        </w:rPr>
        <w:t xml:space="preserve">) </w:t>
      </w:r>
      <w:r w:rsidRPr="00566BE2">
        <w:rPr>
          <w:rFonts w:ascii="Georgia" w:hAnsi="Georgia"/>
          <w:sz w:val="22"/>
        </w:rPr>
        <w:br/>
        <w:t>2005-2015</w:t>
      </w:r>
    </w:p>
    <w:p w:rsidR="004637C8" w:rsidRPr="004637C8" w:rsidRDefault="004637C8" w:rsidP="004637C8">
      <w:pPr>
        <w:spacing w:before="240"/>
        <w:jc w:val="both"/>
        <w:rPr>
          <w:rFonts w:ascii="Georgia" w:hAnsi="Georgia"/>
          <w:bCs/>
          <w:noProof/>
          <w:color w:val="404040"/>
          <w:lang w:eastAsia="en-US"/>
        </w:rPr>
      </w:pPr>
      <w:r w:rsidRPr="004637C8">
        <w:rPr>
          <w:rFonts w:ascii="Georgia" w:hAnsi="Georgia"/>
          <w:noProof/>
          <w:color w:val="404040"/>
        </w:rPr>
        <w:drawing>
          <wp:inline distT="0" distB="0" distL="0" distR="0" wp14:anchorId="08D25AA5" wp14:editId="08EC3334">
            <wp:extent cx="5454595" cy="4134679"/>
            <wp:effectExtent l="0" t="0" r="13335" b="18415"/>
            <wp:docPr id="8"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46E78" w:rsidRDefault="00146E78" w:rsidP="004637C8">
      <w:pPr>
        <w:spacing w:before="240"/>
        <w:jc w:val="both"/>
        <w:textAlignment w:val="baseline"/>
        <w:rPr>
          <w:rFonts w:ascii="Georgia" w:hAnsi="Georgia" w:cs="Arial"/>
          <w:color w:val="000000"/>
          <w:kern w:val="24"/>
          <w:sz w:val="18"/>
        </w:rPr>
      </w:pPr>
    </w:p>
    <w:p w:rsidR="004637C8" w:rsidRPr="004637C8" w:rsidRDefault="004637C8" w:rsidP="004637C8">
      <w:pPr>
        <w:spacing w:before="240"/>
        <w:jc w:val="both"/>
        <w:textAlignment w:val="baseline"/>
        <w:rPr>
          <w:rFonts w:ascii="Georgia" w:hAnsi="Georgia"/>
          <w:sz w:val="18"/>
        </w:rPr>
      </w:pPr>
      <w:r w:rsidRPr="004637C8">
        <w:rPr>
          <w:rFonts w:ascii="Georgia" w:hAnsi="Georgia" w:cs="Arial"/>
          <w:color w:val="000000"/>
          <w:kern w:val="24"/>
          <w:sz w:val="18"/>
        </w:rPr>
        <w:t>Fonte: Relatório Resumido de Execução Orçamentária – RREO/STN</w:t>
      </w:r>
    </w:p>
    <w:p w:rsidR="00146E78" w:rsidRPr="004637C8" w:rsidRDefault="00146E78" w:rsidP="00146E78">
      <w:pPr>
        <w:autoSpaceDE w:val="0"/>
        <w:autoSpaceDN w:val="0"/>
        <w:adjustRightInd w:val="0"/>
        <w:jc w:val="both"/>
        <w:rPr>
          <w:rFonts w:ascii="Georgia" w:eastAsia="Calibri" w:hAnsi="Georgia" w:cs="Georgia"/>
          <w:lang w:eastAsia="en-US"/>
        </w:rPr>
      </w:pPr>
      <w:r>
        <w:rPr>
          <w:rFonts w:asciiTheme="minorHAnsi" w:hAnsiTheme="minorHAnsi" w:cstheme="minorHAnsi"/>
          <w:sz w:val="18"/>
          <w:szCs w:val="18"/>
        </w:rPr>
        <w:t xml:space="preserve">Elaboração: </w:t>
      </w:r>
      <w:r w:rsidRPr="00146E78">
        <w:rPr>
          <w:rFonts w:asciiTheme="minorHAnsi" w:hAnsiTheme="minorHAnsi" w:cstheme="minorHAnsi"/>
          <w:b/>
          <w:sz w:val="18"/>
          <w:szCs w:val="18"/>
        </w:rPr>
        <w:t>PREVIDÊNCIA: REFORMAR PARA EXCLUIR? (2017).</w:t>
      </w:r>
    </w:p>
    <w:p w:rsidR="00331FE3" w:rsidRDefault="00331FE3" w:rsidP="004637C8">
      <w:pPr>
        <w:spacing w:before="240"/>
        <w:jc w:val="both"/>
        <w:rPr>
          <w:rFonts w:ascii="Georgia" w:hAnsi="Georgia"/>
          <w:color w:val="943634"/>
          <w:kern w:val="24"/>
        </w:rPr>
      </w:pPr>
    </w:p>
    <w:p w:rsidR="004637C8" w:rsidRPr="004637C8" w:rsidRDefault="004637C8" w:rsidP="004637C8">
      <w:pPr>
        <w:spacing w:before="240"/>
        <w:jc w:val="both"/>
        <w:rPr>
          <w:rFonts w:ascii="Georgia" w:hAnsi="Georgia"/>
          <w:kern w:val="24"/>
        </w:rPr>
      </w:pPr>
      <w:r w:rsidRPr="004637C8">
        <w:rPr>
          <w:rFonts w:ascii="Georgia" w:hAnsi="Georgia"/>
          <w:color w:val="943634"/>
          <w:kern w:val="24"/>
        </w:rPr>
        <w:t xml:space="preserve">A Figura 8 </w:t>
      </w:r>
      <w:r w:rsidRPr="004637C8">
        <w:rPr>
          <w:rFonts w:ascii="Georgia" w:hAnsi="Georgia"/>
          <w:kern w:val="24"/>
        </w:rPr>
        <w:t xml:space="preserve">indica que a Seguridade Social é superavitária mesmo com a DRU e com as desonerações tributárias concedidas pela área econômica do governo sobre as suas principais fontes de financiamento. Em 2015, por exemplo, a Seguridade deixou de arrecadar R$157,6 bilhões por conta dessas isenções. </w:t>
      </w:r>
    </w:p>
    <w:p w:rsidR="004637C8" w:rsidRPr="004637C8" w:rsidRDefault="004637C8" w:rsidP="004637C8">
      <w:pPr>
        <w:textAlignment w:val="baseline"/>
        <w:rPr>
          <w:rFonts w:ascii="Georgia" w:hAnsi="Georgia"/>
        </w:rPr>
      </w:pPr>
    </w:p>
    <w:p w:rsidR="004637C8" w:rsidRPr="00566BE2" w:rsidRDefault="004637C8" w:rsidP="004637C8">
      <w:pPr>
        <w:textAlignment w:val="baseline"/>
        <w:rPr>
          <w:rFonts w:ascii="Georgia" w:hAnsi="Georgia"/>
          <w:sz w:val="22"/>
        </w:rPr>
      </w:pPr>
      <w:r w:rsidRPr="00566BE2">
        <w:rPr>
          <w:rFonts w:ascii="Georgia" w:hAnsi="Georgia"/>
          <w:sz w:val="22"/>
        </w:rPr>
        <w:t>FIGURA 8 – TOTAL DE DESONERACÕES DA RECEITA DA SEGURIDADE SOCIAL</w:t>
      </w:r>
    </w:p>
    <w:p w:rsidR="004637C8" w:rsidRPr="00566BE2" w:rsidRDefault="004637C8" w:rsidP="004637C8">
      <w:pPr>
        <w:textAlignment w:val="baseline"/>
        <w:rPr>
          <w:rFonts w:ascii="Calibri" w:hAnsi="Calibri"/>
          <w:sz w:val="22"/>
          <w:szCs w:val="20"/>
          <w:vertAlign w:val="superscript"/>
          <w:lang w:eastAsia="en-US"/>
        </w:rPr>
      </w:pPr>
      <w:r w:rsidRPr="00566BE2">
        <w:rPr>
          <w:rFonts w:ascii="Georgia" w:hAnsi="Georgia"/>
          <w:sz w:val="22"/>
        </w:rPr>
        <w:t xml:space="preserve"> (EM R$ MILHÕES CORRENTES</w:t>
      </w:r>
      <w:r w:rsidR="009D1E50" w:rsidRPr="00566BE2">
        <w:rPr>
          <w:rFonts w:ascii="Georgia" w:hAnsi="Georgia"/>
          <w:sz w:val="22"/>
        </w:rPr>
        <w:t xml:space="preserve">) </w:t>
      </w:r>
      <w:r w:rsidRPr="00566BE2">
        <w:rPr>
          <w:rFonts w:ascii="Georgia" w:hAnsi="Georgia"/>
          <w:sz w:val="22"/>
        </w:rPr>
        <w:br/>
        <w:t xml:space="preserve">2007-2016 </w:t>
      </w:r>
    </w:p>
    <w:p w:rsidR="004637C8" w:rsidRPr="004637C8" w:rsidRDefault="004637C8" w:rsidP="004637C8">
      <w:pPr>
        <w:spacing w:before="240"/>
        <w:jc w:val="both"/>
        <w:rPr>
          <w:rFonts w:ascii="Georgia" w:hAnsi="Georgia"/>
          <w:kern w:val="24"/>
        </w:rPr>
      </w:pPr>
      <w:r w:rsidRPr="004637C8">
        <w:rPr>
          <w:rFonts w:ascii="Georgia" w:hAnsi="Georgia"/>
          <w:noProof/>
        </w:rPr>
        <w:lastRenderedPageBreak/>
        <w:drawing>
          <wp:inline distT="0" distB="0" distL="0" distR="0" wp14:anchorId="759E8A7F" wp14:editId="5E342491">
            <wp:extent cx="5279666" cy="2703444"/>
            <wp:effectExtent l="0" t="0" r="16510" b="2095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637C8" w:rsidRPr="004637C8" w:rsidRDefault="004637C8" w:rsidP="004637C8">
      <w:pPr>
        <w:spacing w:before="120"/>
        <w:rPr>
          <w:rFonts w:ascii="Georgia" w:hAnsi="Georgia"/>
          <w:sz w:val="18"/>
          <w:szCs w:val="16"/>
        </w:rPr>
      </w:pPr>
      <w:r w:rsidRPr="004637C8">
        <w:rPr>
          <w:rFonts w:ascii="Georgia" w:hAnsi="Georgia"/>
          <w:kern w:val="24"/>
          <w:sz w:val="16"/>
        </w:rPr>
        <w:t xml:space="preserve">Fonte: Receita Federal, Ministério da Fazenda. Demonstrativo dos Gastos Tributários. PLOA [projeções] e Relatório de Bases Efetivas. </w:t>
      </w:r>
      <w:r w:rsidRPr="004637C8">
        <w:rPr>
          <w:rFonts w:ascii="Georgia" w:hAnsi="Georgia"/>
          <w:kern w:val="24"/>
          <w:sz w:val="16"/>
        </w:rPr>
        <w:br/>
        <w:t xml:space="preserve">Notas: [1] Dados de 2007 a 2014, Bases Efetivas. Dados de 2015 e 2016, dados estimados, PLOA-projeções. </w:t>
      </w:r>
      <w:r w:rsidRPr="004637C8">
        <w:rPr>
          <w:rFonts w:ascii="Georgia" w:hAnsi="Georgia"/>
          <w:kern w:val="24"/>
          <w:sz w:val="16"/>
        </w:rPr>
        <w:br/>
        <w:t xml:space="preserve">[2] Gastos com a contribuição para a Previdência inclui: Copa do Mundo [isenção à </w:t>
      </w:r>
      <w:r w:rsidR="009D1E50" w:rsidRPr="004637C8">
        <w:rPr>
          <w:rFonts w:ascii="Georgia" w:hAnsi="Georgia"/>
          <w:kern w:val="24"/>
          <w:sz w:val="16"/>
        </w:rPr>
        <w:t>FIFA</w:t>
      </w:r>
      <w:r w:rsidRPr="004637C8">
        <w:rPr>
          <w:rFonts w:ascii="Georgia" w:hAnsi="Georgia"/>
          <w:kern w:val="24"/>
          <w:sz w:val="16"/>
        </w:rPr>
        <w:t xml:space="preserve"> e entidades organizadoras]; desoneração da folha de salários; donas de casa; entidades filantrópicas; exportação da produção rural; MEI [microempreendedor individual]; Olimpíadas 2016 [isenção patronal ao comitê organizador]; Simples Nacional; TI [tecnologia da informação] e TIC [tecnologia da informação e comunicação], indústrias de transformação e setor hoteleiro. Nem todas as rubricas estão contidas em todos os anos. Elaboração (ANFIP, 2016).</w:t>
      </w:r>
    </w:p>
    <w:p w:rsidR="00146E78" w:rsidRPr="004637C8" w:rsidRDefault="00146E78" w:rsidP="00146E78">
      <w:pPr>
        <w:autoSpaceDE w:val="0"/>
        <w:autoSpaceDN w:val="0"/>
        <w:adjustRightInd w:val="0"/>
        <w:jc w:val="both"/>
        <w:rPr>
          <w:rFonts w:ascii="Georgia" w:eastAsia="Calibri" w:hAnsi="Georgia" w:cs="Georgia"/>
          <w:lang w:eastAsia="en-US"/>
        </w:rPr>
      </w:pPr>
      <w:r w:rsidRPr="00146E78">
        <w:rPr>
          <w:rFonts w:asciiTheme="minorHAnsi" w:hAnsiTheme="minorHAnsi" w:cstheme="minorHAnsi"/>
          <w:b/>
          <w:sz w:val="18"/>
          <w:szCs w:val="18"/>
        </w:rPr>
        <w:t>PREVIDÊNCIA: REFORMAR PARA EXCLUIR? (2017).</w:t>
      </w:r>
    </w:p>
    <w:p w:rsidR="004637C8" w:rsidRPr="004637C8" w:rsidRDefault="004637C8" w:rsidP="004637C8">
      <w:pPr>
        <w:spacing w:before="100" w:after="200" w:line="276" w:lineRule="auto"/>
        <w:rPr>
          <w:rFonts w:ascii="Calibri" w:hAnsi="Calibri"/>
          <w:sz w:val="20"/>
          <w:szCs w:val="20"/>
        </w:rPr>
      </w:pPr>
    </w:p>
    <w:p w:rsidR="004637C8" w:rsidRPr="00566BE2" w:rsidRDefault="004637C8" w:rsidP="00566BE2">
      <w:pPr>
        <w:keepNext/>
        <w:keepLines/>
        <w:spacing w:before="240"/>
        <w:jc w:val="both"/>
        <w:outlineLvl w:val="1"/>
        <w:rPr>
          <w:rFonts w:ascii="Georgia" w:eastAsia="Calibri" w:hAnsi="Georgia"/>
          <w:b/>
          <w:szCs w:val="28"/>
          <w:lang w:eastAsia="en-US"/>
        </w:rPr>
      </w:pPr>
      <w:bookmarkStart w:id="1" w:name="_Toc473784413"/>
      <w:bookmarkStart w:id="2" w:name="_Toc474579216"/>
      <w:r w:rsidRPr="00566BE2">
        <w:rPr>
          <w:rFonts w:ascii="Georgia" w:eastAsia="Calibri" w:hAnsi="Georgia"/>
          <w:b/>
          <w:szCs w:val="28"/>
          <w:lang w:eastAsia="en-US"/>
        </w:rPr>
        <w:t>O "déficit" é efeito de não se contabilizar como receita da Previdência a contribuição do governo</w:t>
      </w:r>
      <w:bookmarkEnd w:id="1"/>
      <w:bookmarkEnd w:id="2"/>
      <w:r w:rsidRPr="00566BE2">
        <w:rPr>
          <w:rFonts w:ascii="Georgia" w:eastAsia="Calibri" w:hAnsi="Georgia"/>
          <w:b/>
          <w:szCs w:val="28"/>
          <w:lang w:eastAsia="en-US"/>
        </w:rPr>
        <w:t xml:space="preserve"> </w:t>
      </w:r>
    </w:p>
    <w:p w:rsidR="004637C8" w:rsidRPr="004637C8" w:rsidRDefault="004637C8" w:rsidP="00566BE2">
      <w:pPr>
        <w:spacing w:before="240"/>
        <w:jc w:val="both"/>
        <w:textAlignment w:val="baseline"/>
        <w:rPr>
          <w:rFonts w:ascii="Georgia" w:eastAsia="Calibri" w:hAnsi="Georgia" w:cs="Georgia"/>
          <w:lang w:eastAsia="en-US"/>
        </w:rPr>
      </w:pPr>
      <w:r w:rsidRPr="004637C8">
        <w:rPr>
          <w:rFonts w:ascii="Georgia" w:eastAsia="Calibri" w:hAnsi="Georgia" w:cs="Georgia"/>
          <w:lang w:eastAsia="en-US"/>
        </w:rPr>
        <w:t>Ora, se a Previdência é parte da Seguridade Social e se o Orçamento da Seguridade Social é superavitário, então, de onde vem o "déficit" apregoado pelo governo? Ele vem da não contabilização das contribuições cabíveis ao Estado como receita previdenciária. Desde 1989, só são consideradas no orçamento da Previdência as contribuições dos trabalhadores e dos empregadores sobre a folha de salário, apesar das críticas das centrais sindicais registradas nas conclusões dos trabalhos do</w:t>
      </w:r>
      <w:r w:rsidRPr="004637C8">
        <w:rPr>
          <w:rFonts w:ascii="Georgia" w:hAnsi="Georgia"/>
          <w:lang w:eastAsia="en-US"/>
        </w:rPr>
        <w:t xml:space="preserve"> </w:t>
      </w:r>
      <w:r w:rsidRPr="004637C8">
        <w:rPr>
          <w:rFonts w:ascii="Georgia" w:hAnsi="Georgia"/>
        </w:rPr>
        <w:t xml:space="preserve">Fórum Nacional da Previdência Social, realizado em 2007. </w:t>
      </w:r>
      <w:r w:rsidRPr="004637C8">
        <w:rPr>
          <w:rFonts w:ascii="Georgia" w:eastAsia="Calibri" w:hAnsi="Georgia" w:cs="Georgia"/>
          <w:lang w:eastAsia="en-US"/>
        </w:rPr>
        <w:t xml:space="preserve">Em outras palavras, o que seria a contribuição do Estado no esquema de financiamento tripartite instituído pela Constituição é denominado pelo governo de déficit. </w:t>
      </w:r>
    </w:p>
    <w:p w:rsidR="004637C8" w:rsidRPr="004637C8" w:rsidRDefault="004637C8" w:rsidP="00566BE2">
      <w:pPr>
        <w:spacing w:before="240"/>
        <w:jc w:val="both"/>
        <w:rPr>
          <w:rFonts w:ascii="Georgia" w:hAnsi="Georgia"/>
          <w:b/>
        </w:rPr>
      </w:pPr>
      <w:r w:rsidRPr="004637C8">
        <w:rPr>
          <w:rFonts w:ascii="Georgia" w:hAnsi="Georgia"/>
          <w:b/>
        </w:rPr>
        <w:t>A forma contábil e inconstitucional adotada pelo governo.</w:t>
      </w:r>
    </w:p>
    <w:p w:rsidR="004637C8" w:rsidRPr="004637C8" w:rsidRDefault="004637C8" w:rsidP="00566BE2">
      <w:pPr>
        <w:spacing w:before="240"/>
        <w:jc w:val="both"/>
        <w:rPr>
          <w:rFonts w:ascii="Georgia" w:hAnsi="Georgia"/>
        </w:rPr>
      </w:pPr>
      <w:r w:rsidRPr="004637C8">
        <w:rPr>
          <w:rFonts w:ascii="Georgia" w:hAnsi="Georgia"/>
        </w:rPr>
        <w:t xml:space="preserve">A </w:t>
      </w:r>
      <w:r w:rsidRPr="004637C8">
        <w:rPr>
          <w:rFonts w:ascii="Georgia" w:hAnsi="Georgia"/>
          <w:color w:val="943634"/>
        </w:rPr>
        <w:t xml:space="preserve">Figura 9 </w:t>
      </w:r>
      <w:r w:rsidRPr="004637C8">
        <w:rPr>
          <w:rFonts w:ascii="Georgia" w:hAnsi="Georgia"/>
        </w:rPr>
        <w:t xml:space="preserve">reproduz, para 2015, a forma de contabilização das contas da Previdência adotada pelo governo e que somente considera como receita as contribuições dos trabalhadores e dos empregadores sobre a folha de salário (R$350 bilhões). Ou seja, nenhum centavo das contribuições arrecadadas através da Cofins, da CSLL e do PIS/Pasep foi incluído como fontes de receita da Previdência, no período analisado. </w:t>
      </w:r>
    </w:p>
    <w:p w:rsidR="004637C8" w:rsidRPr="004637C8" w:rsidRDefault="004637C8" w:rsidP="00566BE2">
      <w:pPr>
        <w:spacing w:before="240"/>
        <w:jc w:val="both"/>
        <w:rPr>
          <w:rFonts w:ascii="Calibri" w:hAnsi="Calibri"/>
          <w:sz w:val="20"/>
          <w:szCs w:val="20"/>
          <w:lang w:eastAsia="en-US"/>
        </w:rPr>
      </w:pPr>
      <w:r w:rsidRPr="004637C8">
        <w:rPr>
          <w:rFonts w:ascii="Georgia" w:hAnsi="Georgia"/>
        </w:rPr>
        <w:t xml:space="preserve"> </w:t>
      </w:r>
    </w:p>
    <w:p w:rsidR="004637C8" w:rsidRPr="004637C8" w:rsidRDefault="004637C8" w:rsidP="004637C8">
      <w:pPr>
        <w:spacing w:before="100"/>
        <w:rPr>
          <w:rFonts w:ascii="Calibri" w:hAnsi="Calibri"/>
          <w:szCs w:val="20"/>
          <w:lang w:eastAsia="en-US"/>
        </w:rPr>
      </w:pPr>
      <w:r w:rsidRPr="004637C8">
        <w:rPr>
          <w:rFonts w:ascii="Georgia" w:hAnsi="Georgia"/>
          <w:bCs/>
          <w:color w:val="000000"/>
        </w:rPr>
        <w:t>FIGURA 9 – RESULTADO DA PREVIDÊNCIA CONTABILIZADO PELO MPAS</w:t>
      </w:r>
      <w:r w:rsidRPr="004637C8">
        <w:rPr>
          <w:rFonts w:ascii="Georgia" w:hAnsi="Georgia"/>
          <w:bCs/>
          <w:color w:val="000000"/>
        </w:rPr>
        <w:br/>
      </w:r>
      <w:r w:rsidR="009D1E50" w:rsidRPr="004637C8">
        <w:rPr>
          <w:rFonts w:ascii="Georgia" w:hAnsi="Georgia"/>
          <w:bCs/>
          <w:color w:val="000000"/>
        </w:rPr>
        <w:t xml:space="preserve"> (</w:t>
      </w:r>
      <w:r w:rsidRPr="004637C8">
        <w:rPr>
          <w:rFonts w:ascii="Georgia" w:hAnsi="Georgia"/>
          <w:bCs/>
          <w:color w:val="000000"/>
        </w:rPr>
        <w:t>EM MIL</w:t>
      </w:r>
      <w:r w:rsidR="009D1E50" w:rsidRPr="004637C8">
        <w:rPr>
          <w:rFonts w:ascii="Georgia" w:hAnsi="Georgia"/>
          <w:bCs/>
          <w:color w:val="000000"/>
        </w:rPr>
        <w:t xml:space="preserve">) </w:t>
      </w:r>
      <w:r w:rsidRPr="004637C8">
        <w:rPr>
          <w:rFonts w:ascii="Georgia" w:hAnsi="Georgia"/>
          <w:bCs/>
          <w:color w:val="000000"/>
        </w:rPr>
        <w:br/>
      </w:r>
      <w:r w:rsidRPr="004637C8">
        <w:rPr>
          <w:rFonts w:ascii="Georgia" w:hAnsi="Georgia"/>
          <w:bCs/>
          <w:color w:val="000000"/>
        </w:rPr>
        <w:lastRenderedPageBreak/>
        <w:t xml:space="preserve">2015 </w:t>
      </w:r>
      <w:r w:rsidRPr="004637C8">
        <w:rPr>
          <w:rFonts w:ascii="Georgia" w:hAnsi="Georgia"/>
          <w:bCs/>
          <w:color w:val="000000"/>
        </w:rPr>
        <w:br/>
        <w:t>BRASIL</w:t>
      </w:r>
    </w:p>
    <w:p w:rsidR="004637C8" w:rsidRPr="004637C8" w:rsidRDefault="004637C8" w:rsidP="004637C8">
      <w:pPr>
        <w:spacing w:before="100"/>
        <w:jc w:val="both"/>
        <w:rPr>
          <w:rFonts w:ascii="Georgia" w:hAnsi="Georgia"/>
          <w:bCs/>
          <w:color w:val="000000"/>
          <w:sz w:val="20"/>
        </w:rPr>
      </w:pPr>
    </w:p>
    <w:tbl>
      <w:tblPr>
        <w:tblW w:w="0" w:type="auto"/>
        <w:tblLayout w:type="fixed"/>
        <w:tblCellMar>
          <w:left w:w="113" w:type="dxa"/>
        </w:tblCellMar>
        <w:tblLook w:val="0000" w:firstRow="0" w:lastRow="0" w:firstColumn="0" w:lastColumn="0" w:noHBand="0" w:noVBand="0"/>
      </w:tblPr>
      <w:tblGrid>
        <w:gridCol w:w="5280"/>
        <w:gridCol w:w="1945"/>
        <w:gridCol w:w="1279"/>
      </w:tblGrid>
      <w:tr w:rsidR="004637C8" w:rsidRPr="004637C8" w:rsidTr="004637C8">
        <w:trPr>
          <w:trHeight w:val="20"/>
        </w:trPr>
        <w:tc>
          <w:tcPr>
            <w:tcW w:w="5280" w:type="dxa"/>
            <w:tcBorders>
              <w:top w:val="single" w:sz="4" w:space="0" w:color="B8CCE4"/>
              <w:left w:val="single" w:sz="4" w:space="0" w:color="B8CCE4"/>
              <w:bottom w:val="single" w:sz="12" w:space="0" w:color="95B3D7"/>
              <w:right w:val="single" w:sz="4" w:space="0" w:color="B8CCE4"/>
            </w:tcBorders>
            <w:shd w:val="clear" w:color="auto" w:fill="002060"/>
          </w:tcPr>
          <w:p w:rsidR="004637C8" w:rsidRPr="004637C8" w:rsidRDefault="004637C8" w:rsidP="004637C8">
            <w:pPr>
              <w:spacing w:before="100"/>
              <w:jc w:val="center"/>
              <w:rPr>
                <w:rFonts w:ascii="Calibri" w:hAnsi="Calibri"/>
                <w:b/>
                <w:sz w:val="20"/>
                <w:szCs w:val="20"/>
                <w:lang w:eastAsia="en-US"/>
              </w:rPr>
            </w:pPr>
            <w:r w:rsidRPr="004637C8">
              <w:rPr>
                <w:rFonts w:ascii="Calibri" w:hAnsi="Calibri"/>
                <w:b/>
                <w:bCs/>
                <w:sz w:val="20"/>
                <w:szCs w:val="18"/>
              </w:rPr>
              <w:t>Receitas/Despesas</w:t>
            </w:r>
          </w:p>
        </w:tc>
        <w:tc>
          <w:tcPr>
            <w:tcW w:w="1945" w:type="dxa"/>
            <w:tcBorders>
              <w:top w:val="single" w:sz="4" w:space="0" w:color="B8CCE4"/>
              <w:left w:val="single" w:sz="4" w:space="0" w:color="B8CCE4"/>
              <w:bottom w:val="single" w:sz="12" w:space="0" w:color="95B3D7"/>
              <w:right w:val="single" w:sz="4" w:space="0" w:color="B8CCE4"/>
            </w:tcBorders>
            <w:shd w:val="clear" w:color="auto" w:fill="002060"/>
          </w:tcPr>
          <w:p w:rsidR="004637C8" w:rsidRPr="004637C8" w:rsidRDefault="004637C8" w:rsidP="004637C8">
            <w:pPr>
              <w:spacing w:before="100"/>
              <w:jc w:val="center"/>
              <w:rPr>
                <w:rFonts w:ascii="Calibri" w:hAnsi="Calibri"/>
                <w:b/>
                <w:sz w:val="20"/>
                <w:szCs w:val="20"/>
                <w:lang w:eastAsia="en-US"/>
              </w:rPr>
            </w:pPr>
            <w:r w:rsidRPr="004637C8">
              <w:rPr>
                <w:rFonts w:ascii="Calibri" w:hAnsi="Calibri"/>
                <w:b/>
                <w:bCs/>
                <w:sz w:val="20"/>
                <w:szCs w:val="18"/>
              </w:rPr>
              <w:t>2015</w:t>
            </w:r>
          </w:p>
        </w:tc>
        <w:tc>
          <w:tcPr>
            <w:tcW w:w="1279" w:type="dxa"/>
            <w:tcBorders>
              <w:top w:val="single" w:sz="4" w:space="0" w:color="B8CCE4"/>
              <w:left w:val="single" w:sz="4" w:space="0" w:color="B8CCE4"/>
              <w:bottom w:val="single" w:sz="12" w:space="0" w:color="95B3D7"/>
              <w:right w:val="single" w:sz="4" w:space="0" w:color="B8CCE4"/>
            </w:tcBorders>
            <w:shd w:val="clear" w:color="auto" w:fill="002060"/>
          </w:tcPr>
          <w:p w:rsidR="004637C8" w:rsidRPr="004637C8" w:rsidRDefault="004637C8" w:rsidP="004637C8">
            <w:pPr>
              <w:spacing w:before="100"/>
              <w:jc w:val="center"/>
              <w:rPr>
                <w:rFonts w:ascii="Calibri" w:hAnsi="Calibri"/>
                <w:b/>
                <w:sz w:val="20"/>
                <w:szCs w:val="20"/>
                <w:lang w:eastAsia="en-US"/>
              </w:rPr>
            </w:pPr>
            <w:r w:rsidRPr="004637C8">
              <w:rPr>
                <w:rFonts w:ascii="Calibri" w:hAnsi="Calibri"/>
                <w:b/>
                <w:bCs/>
                <w:sz w:val="20"/>
                <w:szCs w:val="18"/>
              </w:rPr>
              <w:t>% PIB</w:t>
            </w:r>
          </w:p>
        </w:tc>
      </w:tr>
      <w:tr w:rsidR="004637C8" w:rsidRPr="00331FE3" w:rsidTr="004637C8">
        <w:trPr>
          <w:trHeight w:val="20"/>
        </w:trPr>
        <w:tc>
          <w:tcPr>
            <w:tcW w:w="5280" w:type="dxa"/>
            <w:tcBorders>
              <w:top w:val="single" w:sz="4" w:space="0" w:color="B8CCE4"/>
              <w:left w:val="single" w:sz="4" w:space="0" w:color="B8CCE4"/>
              <w:bottom w:val="single" w:sz="4" w:space="0" w:color="B8CCE4"/>
              <w:right w:val="single" w:sz="4" w:space="0" w:color="B8CCE4"/>
            </w:tcBorders>
            <w:shd w:val="clear" w:color="auto" w:fill="auto"/>
          </w:tcPr>
          <w:p w:rsidR="004637C8" w:rsidRPr="00331FE3" w:rsidRDefault="00331FE3" w:rsidP="004637C8">
            <w:pPr>
              <w:spacing w:before="100"/>
              <w:ind w:firstLine="181"/>
              <w:jc w:val="both"/>
              <w:rPr>
                <w:rFonts w:ascii="Calibri" w:hAnsi="Calibri"/>
                <w:b/>
                <w:sz w:val="20"/>
                <w:szCs w:val="20"/>
                <w:lang w:eastAsia="en-US"/>
              </w:rPr>
            </w:pPr>
            <w:r w:rsidRPr="00331FE3">
              <w:rPr>
                <w:rFonts w:ascii="Calibri" w:hAnsi="Calibri"/>
                <w:b/>
                <w:bCs/>
                <w:color w:val="000000"/>
                <w:sz w:val="18"/>
                <w:szCs w:val="18"/>
              </w:rPr>
              <w:t xml:space="preserve">A – RECEITAS </w:t>
            </w:r>
          </w:p>
        </w:tc>
        <w:tc>
          <w:tcPr>
            <w:tcW w:w="1945" w:type="dxa"/>
            <w:tcBorders>
              <w:top w:val="single" w:sz="4" w:space="0" w:color="B8CCE4"/>
              <w:left w:val="single" w:sz="4" w:space="0" w:color="B8CCE4"/>
              <w:bottom w:val="single" w:sz="4" w:space="0" w:color="B8CCE4"/>
              <w:right w:val="single" w:sz="4" w:space="0" w:color="B8CCE4"/>
            </w:tcBorders>
            <w:shd w:val="clear" w:color="auto" w:fill="auto"/>
          </w:tcPr>
          <w:p w:rsidR="004637C8" w:rsidRPr="00331FE3" w:rsidRDefault="00331FE3" w:rsidP="004637C8">
            <w:pPr>
              <w:spacing w:before="100"/>
              <w:jc w:val="right"/>
              <w:rPr>
                <w:rFonts w:ascii="Calibri" w:hAnsi="Calibri"/>
                <w:b/>
                <w:sz w:val="20"/>
                <w:szCs w:val="20"/>
                <w:lang w:eastAsia="en-US"/>
              </w:rPr>
            </w:pPr>
            <w:r w:rsidRPr="00331FE3">
              <w:rPr>
                <w:rFonts w:ascii="Calibri" w:hAnsi="Calibri"/>
                <w:b/>
                <w:bCs/>
                <w:color w:val="000000"/>
                <w:sz w:val="18"/>
                <w:szCs w:val="18"/>
              </w:rPr>
              <w:t>350.272,0</w:t>
            </w:r>
          </w:p>
        </w:tc>
        <w:tc>
          <w:tcPr>
            <w:tcW w:w="1279" w:type="dxa"/>
            <w:tcBorders>
              <w:top w:val="single" w:sz="4" w:space="0" w:color="B8CCE4"/>
              <w:left w:val="single" w:sz="4" w:space="0" w:color="B8CCE4"/>
              <w:bottom w:val="single" w:sz="4" w:space="0" w:color="B8CCE4"/>
              <w:right w:val="single" w:sz="4" w:space="0" w:color="B8CCE4"/>
            </w:tcBorders>
            <w:shd w:val="clear" w:color="auto" w:fill="auto"/>
          </w:tcPr>
          <w:p w:rsidR="004637C8" w:rsidRPr="00331FE3" w:rsidRDefault="00331FE3" w:rsidP="004637C8">
            <w:pPr>
              <w:spacing w:before="100"/>
              <w:jc w:val="right"/>
              <w:rPr>
                <w:rFonts w:ascii="Calibri" w:hAnsi="Calibri"/>
                <w:b/>
                <w:sz w:val="20"/>
                <w:szCs w:val="20"/>
                <w:lang w:eastAsia="en-US"/>
              </w:rPr>
            </w:pPr>
            <w:r w:rsidRPr="00331FE3">
              <w:rPr>
                <w:rFonts w:ascii="Calibri" w:hAnsi="Calibri"/>
                <w:b/>
                <w:bCs/>
                <w:color w:val="000000"/>
                <w:sz w:val="18"/>
                <w:szCs w:val="18"/>
              </w:rPr>
              <w:t>5,9%</w:t>
            </w:r>
          </w:p>
        </w:tc>
      </w:tr>
      <w:tr w:rsidR="004637C8" w:rsidRPr="004637C8" w:rsidTr="004637C8">
        <w:trPr>
          <w:trHeight w:val="20"/>
        </w:trPr>
        <w:tc>
          <w:tcPr>
            <w:tcW w:w="5280" w:type="dxa"/>
            <w:tcBorders>
              <w:top w:val="single" w:sz="4" w:space="0" w:color="B8CCE4"/>
              <w:left w:val="single" w:sz="4" w:space="0" w:color="B8CCE4"/>
              <w:bottom w:val="single" w:sz="4" w:space="0" w:color="B8CCE4"/>
              <w:right w:val="single" w:sz="4" w:space="0" w:color="B8CCE4"/>
            </w:tcBorders>
            <w:shd w:val="clear" w:color="auto" w:fill="auto"/>
          </w:tcPr>
          <w:p w:rsidR="004637C8" w:rsidRPr="004637C8" w:rsidRDefault="004637C8" w:rsidP="004637C8">
            <w:pPr>
              <w:spacing w:before="100"/>
              <w:ind w:firstLine="360"/>
              <w:jc w:val="both"/>
              <w:rPr>
                <w:rFonts w:ascii="Calibri" w:hAnsi="Calibri"/>
                <w:sz w:val="20"/>
                <w:szCs w:val="20"/>
                <w:lang w:eastAsia="en-US"/>
              </w:rPr>
            </w:pPr>
            <w:r w:rsidRPr="004637C8">
              <w:rPr>
                <w:rFonts w:ascii="Calibri" w:hAnsi="Calibri"/>
                <w:bCs/>
                <w:color w:val="000000"/>
                <w:sz w:val="18"/>
                <w:szCs w:val="18"/>
              </w:rPr>
              <w:t xml:space="preserve">Urbano </w:t>
            </w:r>
          </w:p>
        </w:tc>
        <w:tc>
          <w:tcPr>
            <w:tcW w:w="1945" w:type="dxa"/>
            <w:tcBorders>
              <w:top w:val="single" w:sz="4" w:space="0" w:color="B8CCE4"/>
              <w:left w:val="single" w:sz="4" w:space="0" w:color="B8CCE4"/>
              <w:bottom w:val="single" w:sz="4" w:space="0" w:color="B8CCE4"/>
              <w:right w:val="single" w:sz="4" w:space="0" w:color="B8CCE4"/>
            </w:tcBorders>
            <w:shd w:val="clear" w:color="auto" w:fill="auto"/>
          </w:tcPr>
          <w:p w:rsidR="004637C8" w:rsidRPr="004637C8" w:rsidRDefault="004637C8" w:rsidP="004637C8">
            <w:pPr>
              <w:spacing w:before="100"/>
              <w:jc w:val="right"/>
              <w:rPr>
                <w:rFonts w:ascii="Calibri" w:hAnsi="Calibri"/>
                <w:sz w:val="20"/>
                <w:szCs w:val="20"/>
                <w:lang w:eastAsia="en-US"/>
              </w:rPr>
            </w:pPr>
            <w:r w:rsidRPr="004637C8">
              <w:rPr>
                <w:rFonts w:ascii="Calibri" w:hAnsi="Calibri"/>
                <w:color w:val="000000"/>
                <w:sz w:val="18"/>
                <w:szCs w:val="18"/>
              </w:rPr>
              <w:t>343.190,7</w:t>
            </w:r>
          </w:p>
        </w:tc>
        <w:tc>
          <w:tcPr>
            <w:tcW w:w="1279" w:type="dxa"/>
            <w:tcBorders>
              <w:top w:val="single" w:sz="4" w:space="0" w:color="B8CCE4"/>
              <w:left w:val="single" w:sz="4" w:space="0" w:color="B8CCE4"/>
              <w:bottom w:val="single" w:sz="4" w:space="0" w:color="B8CCE4"/>
              <w:right w:val="single" w:sz="4" w:space="0" w:color="B8CCE4"/>
            </w:tcBorders>
            <w:shd w:val="clear" w:color="auto" w:fill="auto"/>
          </w:tcPr>
          <w:p w:rsidR="004637C8" w:rsidRPr="004637C8" w:rsidRDefault="004637C8" w:rsidP="004637C8">
            <w:pPr>
              <w:spacing w:before="100"/>
              <w:jc w:val="right"/>
              <w:rPr>
                <w:rFonts w:ascii="Calibri" w:hAnsi="Calibri"/>
                <w:sz w:val="20"/>
                <w:szCs w:val="20"/>
                <w:lang w:eastAsia="en-US"/>
              </w:rPr>
            </w:pPr>
            <w:r w:rsidRPr="004637C8">
              <w:rPr>
                <w:rFonts w:ascii="Calibri" w:hAnsi="Calibri"/>
                <w:color w:val="000000"/>
                <w:sz w:val="18"/>
                <w:szCs w:val="18"/>
              </w:rPr>
              <w:t>5,8%</w:t>
            </w:r>
          </w:p>
        </w:tc>
      </w:tr>
      <w:tr w:rsidR="004637C8" w:rsidRPr="004637C8" w:rsidTr="004637C8">
        <w:trPr>
          <w:trHeight w:val="20"/>
        </w:trPr>
        <w:tc>
          <w:tcPr>
            <w:tcW w:w="5280" w:type="dxa"/>
            <w:tcBorders>
              <w:top w:val="single" w:sz="4" w:space="0" w:color="B8CCE4"/>
              <w:left w:val="single" w:sz="4" w:space="0" w:color="B8CCE4"/>
              <w:bottom w:val="single" w:sz="4" w:space="0" w:color="B8CCE4"/>
              <w:right w:val="single" w:sz="4" w:space="0" w:color="B8CCE4"/>
            </w:tcBorders>
            <w:shd w:val="clear" w:color="auto" w:fill="auto"/>
          </w:tcPr>
          <w:p w:rsidR="004637C8" w:rsidRPr="004637C8" w:rsidRDefault="004637C8" w:rsidP="004637C8">
            <w:pPr>
              <w:spacing w:before="100"/>
              <w:jc w:val="both"/>
              <w:rPr>
                <w:rFonts w:ascii="Calibri" w:hAnsi="Calibri"/>
                <w:sz w:val="20"/>
                <w:szCs w:val="20"/>
                <w:lang w:eastAsia="en-US"/>
              </w:rPr>
            </w:pPr>
            <w:r w:rsidRPr="004637C8">
              <w:rPr>
                <w:rFonts w:ascii="Calibri" w:hAnsi="Calibri"/>
                <w:bCs/>
                <w:color w:val="000000"/>
                <w:sz w:val="18"/>
                <w:szCs w:val="18"/>
              </w:rPr>
              <w:t xml:space="preserve">        Rural </w:t>
            </w:r>
          </w:p>
        </w:tc>
        <w:tc>
          <w:tcPr>
            <w:tcW w:w="1945" w:type="dxa"/>
            <w:tcBorders>
              <w:top w:val="single" w:sz="4" w:space="0" w:color="B8CCE4"/>
              <w:left w:val="single" w:sz="4" w:space="0" w:color="B8CCE4"/>
              <w:bottom w:val="single" w:sz="4" w:space="0" w:color="B8CCE4"/>
              <w:right w:val="single" w:sz="4" w:space="0" w:color="B8CCE4"/>
            </w:tcBorders>
            <w:shd w:val="clear" w:color="auto" w:fill="auto"/>
          </w:tcPr>
          <w:p w:rsidR="004637C8" w:rsidRPr="004637C8" w:rsidRDefault="004637C8" w:rsidP="004637C8">
            <w:pPr>
              <w:spacing w:before="100"/>
              <w:jc w:val="right"/>
              <w:rPr>
                <w:rFonts w:ascii="Calibri" w:hAnsi="Calibri"/>
                <w:sz w:val="20"/>
                <w:szCs w:val="20"/>
                <w:lang w:eastAsia="en-US"/>
              </w:rPr>
            </w:pPr>
            <w:r w:rsidRPr="004637C8">
              <w:rPr>
                <w:rFonts w:ascii="Calibri" w:hAnsi="Calibri"/>
                <w:color w:val="000000"/>
                <w:sz w:val="18"/>
                <w:szCs w:val="18"/>
              </w:rPr>
              <w:t>7.081,3</w:t>
            </w:r>
          </w:p>
        </w:tc>
        <w:tc>
          <w:tcPr>
            <w:tcW w:w="1279" w:type="dxa"/>
            <w:tcBorders>
              <w:top w:val="single" w:sz="4" w:space="0" w:color="B8CCE4"/>
              <w:left w:val="single" w:sz="4" w:space="0" w:color="B8CCE4"/>
              <w:bottom w:val="single" w:sz="4" w:space="0" w:color="B8CCE4"/>
              <w:right w:val="single" w:sz="4" w:space="0" w:color="B8CCE4"/>
            </w:tcBorders>
            <w:shd w:val="clear" w:color="auto" w:fill="auto"/>
          </w:tcPr>
          <w:p w:rsidR="004637C8" w:rsidRPr="004637C8" w:rsidRDefault="004637C8" w:rsidP="004637C8">
            <w:pPr>
              <w:spacing w:before="100"/>
              <w:jc w:val="right"/>
              <w:rPr>
                <w:rFonts w:ascii="Calibri" w:hAnsi="Calibri"/>
                <w:sz w:val="20"/>
                <w:szCs w:val="20"/>
                <w:lang w:eastAsia="en-US"/>
              </w:rPr>
            </w:pPr>
            <w:r w:rsidRPr="004637C8">
              <w:rPr>
                <w:rFonts w:ascii="Calibri" w:hAnsi="Calibri"/>
                <w:color w:val="000000"/>
                <w:sz w:val="18"/>
                <w:szCs w:val="18"/>
              </w:rPr>
              <w:t>0,1%</w:t>
            </w:r>
          </w:p>
        </w:tc>
      </w:tr>
      <w:tr w:rsidR="004637C8" w:rsidRPr="00331FE3" w:rsidTr="004637C8">
        <w:trPr>
          <w:trHeight w:val="20"/>
        </w:trPr>
        <w:tc>
          <w:tcPr>
            <w:tcW w:w="5280" w:type="dxa"/>
            <w:tcBorders>
              <w:top w:val="single" w:sz="4" w:space="0" w:color="B8CCE4"/>
              <w:left w:val="single" w:sz="4" w:space="0" w:color="B8CCE4"/>
              <w:bottom w:val="single" w:sz="4" w:space="0" w:color="B8CCE4"/>
              <w:right w:val="single" w:sz="4" w:space="0" w:color="B8CCE4"/>
            </w:tcBorders>
            <w:shd w:val="clear" w:color="auto" w:fill="auto"/>
          </w:tcPr>
          <w:p w:rsidR="004637C8" w:rsidRPr="00331FE3" w:rsidRDefault="00331FE3" w:rsidP="004637C8">
            <w:pPr>
              <w:spacing w:before="100"/>
              <w:ind w:firstLine="181"/>
              <w:jc w:val="both"/>
              <w:rPr>
                <w:rFonts w:ascii="Calibri" w:hAnsi="Calibri"/>
                <w:b/>
                <w:sz w:val="20"/>
                <w:szCs w:val="20"/>
                <w:lang w:eastAsia="en-US"/>
              </w:rPr>
            </w:pPr>
            <w:r w:rsidRPr="00331FE3">
              <w:rPr>
                <w:rFonts w:ascii="Calibri" w:hAnsi="Calibri"/>
                <w:b/>
                <w:bCs/>
                <w:color w:val="000000"/>
                <w:sz w:val="18"/>
                <w:szCs w:val="18"/>
              </w:rPr>
              <w:t xml:space="preserve">B- DESPESAS (BENEFÍCIOS PAGOS) </w:t>
            </w:r>
          </w:p>
        </w:tc>
        <w:tc>
          <w:tcPr>
            <w:tcW w:w="1945" w:type="dxa"/>
            <w:tcBorders>
              <w:top w:val="single" w:sz="4" w:space="0" w:color="B8CCE4"/>
              <w:left w:val="single" w:sz="4" w:space="0" w:color="B8CCE4"/>
              <w:bottom w:val="single" w:sz="4" w:space="0" w:color="B8CCE4"/>
              <w:right w:val="single" w:sz="4" w:space="0" w:color="B8CCE4"/>
            </w:tcBorders>
            <w:shd w:val="clear" w:color="auto" w:fill="auto"/>
          </w:tcPr>
          <w:p w:rsidR="004637C8" w:rsidRPr="00331FE3" w:rsidRDefault="00331FE3" w:rsidP="004637C8">
            <w:pPr>
              <w:spacing w:before="100"/>
              <w:jc w:val="right"/>
              <w:rPr>
                <w:rFonts w:ascii="Calibri" w:hAnsi="Calibri"/>
                <w:b/>
                <w:sz w:val="20"/>
                <w:szCs w:val="20"/>
                <w:lang w:eastAsia="en-US"/>
              </w:rPr>
            </w:pPr>
            <w:r w:rsidRPr="00331FE3">
              <w:rPr>
                <w:rFonts w:ascii="Calibri" w:hAnsi="Calibri"/>
                <w:b/>
                <w:bCs/>
                <w:color w:val="000000"/>
                <w:sz w:val="18"/>
                <w:szCs w:val="18"/>
              </w:rPr>
              <w:t>436.090,1</w:t>
            </w:r>
          </w:p>
        </w:tc>
        <w:tc>
          <w:tcPr>
            <w:tcW w:w="1279" w:type="dxa"/>
            <w:tcBorders>
              <w:top w:val="single" w:sz="4" w:space="0" w:color="B8CCE4"/>
              <w:left w:val="single" w:sz="4" w:space="0" w:color="B8CCE4"/>
              <w:bottom w:val="single" w:sz="4" w:space="0" w:color="B8CCE4"/>
              <w:right w:val="single" w:sz="4" w:space="0" w:color="B8CCE4"/>
            </w:tcBorders>
            <w:shd w:val="clear" w:color="auto" w:fill="auto"/>
          </w:tcPr>
          <w:p w:rsidR="004637C8" w:rsidRPr="00331FE3" w:rsidRDefault="00331FE3" w:rsidP="004637C8">
            <w:pPr>
              <w:spacing w:before="100"/>
              <w:jc w:val="right"/>
              <w:rPr>
                <w:rFonts w:ascii="Calibri" w:hAnsi="Calibri"/>
                <w:b/>
                <w:sz w:val="20"/>
                <w:szCs w:val="20"/>
                <w:lang w:eastAsia="en-US"/>
              </w:rPr>
            </w:pPr>
            <w:r w:rsidRPr="00331FE3">
              <w:rPr>
                <w:rFonts w:ascii="Calibri" w:hAnsi="Calibri"/>
                <w:b/>
                <w:bCs/>
                <w:color w:val="000000"/>
                <w:sz w:val="18"/>
                <w:szCs w:val="18"/>
              </w:rPr>
              <w:t>7,4%</w:t>
            </w:r>
          </w:p>
        </w:tc>
      </w:tr>
      <w:tr w:rsidR="004637C8" w:rsidRPr="004637C8" w:rsidTr="004637C8">
        <w:trPr>
          <w:trHeight w:val="20"/>
        </w:trPr>
        <w:tc>
          <w:tcPr>
            <w:tcW w:w="5280" w:type="dxa"/>
            <w:tcBorders>
              <w:top w:val="single" w:sz="4" w:space="0" w:color="B8CCE4"/>
              <w:left w:val="single" w:sz="4" w:space="0" w:color="B8CCE4"/>
              <w:bottom w:val="single" w:sz="4" w:space="0" w:color="B8CCE4"/>
              <w:right w:val="single" w:sz="4" w:space="0" w:color="B8CCE4"/>
            </w:tcBorders>
            <w:shd w:val="clear" w:color="auto" w:fill="auto"/>
          </w:tcPr>
          <w:p w:rsidR="004637C8" w:rsidRPr="004637C8" w:rsidRDefault="004637C8" w:rsidP="004637C8">
            <w:pPr>
              <w:spacing w:before="100"/>
              <w:ind w:firstLine="360"/>
              <w:jc w:val="both"/>
              <w:rPr>
                <w:rFonts w:ascii="Calibri" w:hAnsi="Calibri"/>
                <w:sz w:val="20"/>
                <w:szCs w:val="20"/>
                <w:lang w:eastAsia="en-US"/>
              </w:rPr>
            </w:pPr>
            <w:r w:rsidRPr="004637C8">
              <w:rPr>
                <w:rFonts w:ascii="Calibri" w:hAnsi="Calibri"/>
                <w:bCs/>
                <w:color w:val="000000"/>
                <w:sz w:val="18"/>
                <w:szCs w:val="18"/>
              </w:rPr>
              <w:t xml:space="preserve">Urbano </w:t>
            </w:r>
          </w:p>
        </w:tc>
        <w:tc>
          <w:tcPr>
            <w:tcW w:w="1945" w:type="dxa"/>
            <w:tcBorders>
              <w:top w:val="single" w:sz="4" w:space="0" w:color="B8CCE4"/>
              <w:left w:val="single" w:sz="4" w:space="0" w:color="B8CCE4"/>
              <w:bottom w:val="single" w:sz="4" w:space="0" w:color="B8CCE4"/>
              <w:right w:val="single" w:sz="4" w:space="0" w:color="B8CCE4"/>
            </w:tcBorders>
            <w:shd w:val="clear" w:color="auto" w:fill="auto"/>
          </w:tcPr>
          <w:p w:rsidR="004637C8" w:rsidRPr="004637C8" w:rsidRDefault="004637C8" w:rsidP="004637C8">
            <w:pPr>
              <w:spacing w:before="100"/>
              <w:jc w:val="right"/>
              <w:rPr>
                <w:rFonts w:ascii="Calibri" w:hAnsi="Calibri"/>
                <w:sz w:val="20"/>
                <w:szCs w:val="20"/>
                <w:lang w:eastAsia="en-US"/>
              </w:rPr>
            </w:pPr>
            <w:r w:rsidRPr="004637C8">
              <w:rPr>
                <w:rFonts w:ascii="Calibri" w:hAnsi="Calibri"/>
                <w:color w:val="000000"/>
                <w:sz w:val="18"/>
                <w:szCs w:val="18"/>
              </w:rPr>
              <w:t>338.049,3</w:t>
            </w:r>
          </w:p>
        </w:tc>
        <w:tc>
          <w:tcPr>
            <w:tcW w:w="1279" w:type="dxa"/>
            <w:tcBorders>
              <w:top w:val="single" w:sz="4" w:space="0" w:color="B8CCE4"/>
              <w:left w:val="single" w:sz="4" w:space="0" w:color="B8CCE4"/>
              <w:bottom w:val="single" w:sz="4" w:space="0" w:color="B8CCE4"/>
              <w:right w:val="single" w:sz="4" w:space="0" w:color="B8CCE4"/>
            </w:tcBorders>
            <w:shd w:val="clear" w:color="auto" w:fill="auto"/>
          </w:tcPr>
          <w:p w:rsidR="004637C8" w:rsidRPr="004637C8" w:rsidRDefault="004637C8" w:rsidP="004637C8">
            <w:pPr>
              <w:spacing w:before="100"/>
              <w:jc w:val="right"/>
              <w:rPr>
                <w:rFonts w:ascii="Calibri" w:hAnsi="Calibri"/>
                <w:sz w:val="20"/>
                <w:szCs w:val="20"/>
                <w:lang w:eastAsia="en-US"/>
              </w:rPr>
            </w:pPr>
            <w:r w:rsidRPr="004637C8">
              <w:rPr>
                <w:rFonts w:ascii="Calibri" w:hAnsi="Calibri"/>
                <w:color w:val="000000"/>
                <w:sz w:val="18"/>
                <w:szCs w:val="18"/>
              </w:rPr>
              <w:t>5,7%</w:t>
            </w:r>
          </w:p>
        </w:tc>
      </w:tr>
      <w:tr w:rsidR="004637C8" w:rsidRPr="004637C8" w:rsidTr="004637C8">
        <w:trPr>
          <w:trHeight w:val="20"/>
        </w:trPr>
        <w:tc>
          <w:tcPr>
            <w:tcW w:w="5280" w:type="dxa"/>
            <w:tcBorders>
              <w:top w:val="single" w:sz="4" w:space="0" w:color="B8CCE4"/>
              <w:left w:val="single" w:sz="4" w:space="0" w:color="B8CCE4"/>
              <w:bottom w:val="single" w:sz="4" w:space="0" w:color="B8CCE4"/>
              <w:right w:val="single" w:sz="4" w:space="0" w:color="B8CCE4"/>
            </w:tcBorders>
            <w:shd w:val="clear" w:color="auto" w:fill="auto"/>
          </w:tcPr>
          <w:p w:rsidR="004637C8" w:rsidRPr="004637C8" w:rsidRDefault="004637C8" w:rsidP="004637C8">
            <w:pPr>
              <w:spacing w:before="100"/>
              <w:jc w:val="both"/>
              <w:rPr>
                <w:rFonts w:ascii="Calibri" w:hAnsi="Calibri"/>
                <w:sz w:val="20"/>
                <w:szCs w:val="20"/>
                <w:lang w:eastAsia="en-US"/>
              </w:rPr>
            </w:pPr>
            <w:r w:rsidRPr="004637C8">
              <w:rPr>
                <w:rFonts w:ascii="Calibri" w:hAnsi="Calibri"/>
                <w:bCs/>
                <w:color w:val="000000"/>
                <w:sz w:val="18"/>
                <w:szCs w:val="18"/>
              </w:rPr>
              <w:t xml:space="preserve">         Rural </w:t>
            </w:r>
          </w:p>
        </w:tc>
        <w:tc>
          <w:tcPr>
            <w:tcW w:w="1945" w:type="dxa"/>
            <w:tcBorders>
              <w:top w:val="single" w:sz="4" w:space="0" w:color="B8CCE4"/>
              <w:left w:val="single" w:sz="4" w:space="0" w:color="B8CCE4"/>
              <w:bottom w:val="single" w:sz="4" w:space="0" w:color="B8CCE4"/>
              <w:right w:val="single" w:sz="4" w:space="0" w:color="B8CCE4"/>
            </w:tcBorders>
            <w:shd w:val="clear" w:color="auto" w:fill="auto"/>
          </w:tcPr>
          <w:p w:rsidR="004637C8" w:rsidRPr="004637C8" w:rsidRDefault="004637C8" w:rsidP="004637C8">
            <w:pPr>
              <w:spacing w:before="100"/>
              <w:jc w:val="right"/>
              <w:rPr>
                <w:rFonts w:ascii="Calibri" w:hAnsi="Calibri"/>
                <w:sz w:val="20"/>
                <w:szCs w:val="20"/>
                <w:lang w:eastAsia="en-US"/>
              </w:rPr>
            </w:pPr>
            <w:r w:rsidRPr="004637C8">
              <w:rPr>
                <w:rFonts w:ascii="Calibri" w:hAnsi="Calibri"/>
                <w:color w:val="000000"/>
                <w:sz w:val="18"/>
                <w:szCs w:val="18"/>
              </w:rPr>
              <w:t>98.040,8</w:t>
            </w:r>
          </w:p>
        </w:tc>
        <w:tc>
          <w:tcPr>
            <w:tcW w:w="1279" w:type="dxa"/>
            <w:tcBorders>
              <w:top w:val="single" w:sz="4" w:space="0" w:color="B8CCE4"/>
              <w:left w:val="single" w:sz="4" w:space="0" w:color="B8CCE4"/>
              <w:bottom w:val="single" w:sz="4" w:space="0" w:color="B8CCE4"/>
              <w:right w:val="single" w:sz="4" w:space="0" w:color="B8CCE4"/>
            </w:tcBorders>
            <w:shd w:val="clear" w:color="auto" w:fill="auto"/>
          </w:tcPr>
          <w:p w:rsidR="004637C8" w:rsidRPr="004637C8" w:rsidRDefault="004637C8" w:rsidP="004637C8">
            <w:pPr>
              <w:spacing w:before="100"/>
              <w:jc w:val="right"/>
              <w:rPr>
                <w:rFonts w:ascii="Calibri" w:hAnsi="Calibri"/>
                <w:sz w:val="20"/>
                <w:szCs w:val="20"/>
                <w:lang w:eastAsia="en-US"/>
              </w:rPr>
            </w:pPr>
            <w:r w:rsidRPr="004637C8">
              <w:rPr>
                <w:rFonts w:ascii="Calibri" w:hAnsi="Calibri"/>
                <w:color w:val="000000"/>
                <w:sz w:val="18"/>
                <w:szCs w:val="18"/>
              </w:rPr>
              <w:t>1,7%</w:t>
            </w:r>
          </w:p>
        </w:tc>
      </w:tr>
      <w:tr w:rsidR="004637C8" w:rsidRPr="00331FE3" w:rsidTr="004637C8">
        <w:trPr>
          <w:trHeight w:val="20"/>
        </w:trPr>
        <w:tc>
          <w:tcPr>
            <w:tcW w:w="5280" w:type="dxa"/>
            <w:tcBorders>
              <w:top w:val="single" w:sz="4" w:space="0" w:color="B8CCE4"/>
              <w:left w:val="single" w:sz="4" w:space="0" w:color="B8CCE4"/>
              <w:bottom w:val="single" w:sz="4" w:space="0" w:color="B8CCE4"/>
              <w:right w:val="single" w:sz="4" w:space="0" w:color="B8CCE4"/>
            </w:tcBorders>
            <w:shd w:val="clear" w:color="auto" w:fill="auto"/>
          </w:tcPr>
          <w:p w:rsidR="004637C8" w:rsidRPr="00331FE3" w:rsidRDefault="004637C8" w:rsidP="004637C8">
            <w:pPr>
              <w:spacing w:before="100"/>
              <w:jc w:val="both"/>
              <w:rPr>
                <w:rFonts w:ascii="Calibri" w:hAnsi="Calibri"/>
                <w:b/>
                <w:sz w:val="20"/>
                <w:szCs w:val="20"/>
                <w:lang w:eastAsia="en-US"/>
              </w:rPr>
            </w:pPr>
            <w:r w:rsidRPr="00331FE3">
              <w:rPr>
                <w:rFonts w:ascii="Calibri" w:hAnsi="Calibri"/>
                <w:b/>
                <w:bCs/>
                <w:color w:val="000000"/>
                <w:sz w:val="18"/>
                <w:szCs w:val="18"/>
              </w:rPr>
              <w:t xml:space="preserve">     C – RESULTADO (A-B)</w:t>
            </w:r>
          </w:p>
        </w:tc>
        <w:tc>
          <w:tcPr>
            <w:tcW w:w="1945" w:type="dxa"/>
            <w:tcBorders>
              <w:top w:val="single" w:sz="4" w:space="0" w:color="B8CCE4"/>
              <w:left w:val="single" w:sz="4" w:space="0" w:color="B8CCE4"/>
              <w:bottom w:val="single" w:sz="4" w:space="0" w:color="B8CCE4"/>
              <w:right w:val="single" w:sz="4" w:space="0" w:color="B8CCE4"/>
            </w:tcBorders>
            <w:shd w:val="clear" w:color="auto" w:fill="auto"/>
          </w:tcPr>
          <w:p w:rsidR="004637C8" w:rsidRPr="00331FE3" w:rsidRDefault="004637C8" w:rsidP="004637C8">
            <w:pPr>
              <w:spacing w:before="100"/>
              <w:jc w:val="right"/>
              <w:rPr>
                <w:rFonts w:ascii="Calibri" w:hAnsi="Calibri"/>
                <w:b/>
                <w:sz w:val="20"/>
                <w:szCs w:val="20"/>
                <w:lang w:eastAsia="en-US"/>
              </w:rPr>
            </w:pPr>
            <w:r w:rsidRPr="00331FE3">
              <w:rPr>
                <w:rFonts w:ascii="Calibri" w:hAnsi="Calibri"/>
                <w:b/>
                <w:bCs/>
                <w:color w:val="000000"/>
                <w:sz w:val="18"/>
                <w:szCs w:val="18"/>
              </w:rPr>
              <w:t>-85.818,1</w:t>
            </w:r>
          </w:p>
        </w:tc>
        <w:tc>
          <w:tcPr>
            <w:tcW w:w="1279" w:type="dxa"/>
            <w:tcBorders>
              <w:top w:val="single" w:sz="4" w:space="0" w:color="B8CCE4"/>
              <w:left w:val="single" w:sz="4" w:space="0" w:color="B8CCE4"/>
              <w:bottom w:val="single" w:sz="4" w:space="0" w:color="B8CCE4"/>
              <w:right w:val="single" w:sz="4" w:space="0" w:color="B8CCE4"/>
            </w:tcBorders>
            <w:shd w:val="clear" w:color="auto" w:fill="auto"/>
          </w:tcPr>
          <w:p w:rsidR="004637C8" w:rsidRPr="00331FE3" w:rsidRDefault="004637C8" w:rsidP="004637C8">
            <w:pPr>
              <w:spacing w:before="100"/>
              <w:jc w:val="right"/>
              <w:rPr>
                <w:rFonts w:ascii="Calibri" w:hAnsi="Calibri"/>
                <w:b/>
                <w:sz w:val="20"/>
                <w:szCs w:val="20"/>
                <w:lang w:eastAsia="en-US"/>
              </w:rPr>
            </w:pPr>
            <w:r w:rsidRPr="00331FE3">
              <w:rPr>
                <w:rFonts w:ascii="Calibri" w:hAnsi="Calibri"/>
                <w:b/>
                <w:bCs/>
                <w:color w:val="000000"/>
                <w:sz w:val="18"/>
                <w:szCs w:val="18"/>
              </w:rPr>
              <w:t>1,4%</w:t>
            </w:r>
          </w:p>
        </w:tc>
      </w:tr>
    </w:tbl>
    <w:p w:rsidR="004637C8" w:rsidRPr="004637C8" w:rsidRDefault="004637C8" w:rsidP="004637C8">
      <w:pPr>
        <w:spacing w:before="240"/>
        <w:jc w:val="both"/>
        <w:textAlignment w:val="baseline"/>
        <w:rPr>
          <w:rFonts w:ascii="Calibri" w:hAnsi="Calibri"/>
          <w:sz w:val="20"/>
          <w:szCs w:val="20"/>
          <w:lang w:eastAsia="en-US"/>
        </w:rPr>
      </w:pPr>
      <w:r w:rsidRPr="004637C8">
        <w:rPr>
          <w:rFonts w:ascii="Georgia" w:hAnsi="Georgia"/>
          <w:sz w:val="18"/>
          <w:szCs w:val="20"/>
        </w:rPr>
        <w:t xml:space="preserve">Fonte: Tesouro Nacional in: MPS (RGPS por clientela urbana e rural segundo metodologia própria). </w:t>
      </w:r>
    </w:p>
    <w:p w:rsidR="004637C8" w:rsidRPr="004637C8" w:rsidRDefault="00146E78" w:rsidP="004637C8">
      <w:pPr>
        <w:autoSpaceDE w:val="0"/>
        <w:autoSpaceDN w:val="0"/>
        <w:adjustRightInd w:val="0"/>
        <w:jc w:val="both"/>
        <w:rPr>
          <w:rFonts w:ascii="Georgia" w:eastAsia="Calibri" w:hAnsi="Georgia" w:cs="Georgia"/>
          <w:lang w:eastAsia="en-US"/>
        </w:rPr>
      </w:pPr>
      <w:r>
        <w:rPr>
          <w:rFonts w:asciiTheme="minorHAnsi" w:hAnsiTheme="minorHAnsi" w:cstheme="minorHAnsi"/>
          <w:sz w:val="18"/>
          <w:szCs w:val="18"/>
        </w:rPr>
        <w:t xml:space="preserve">Elaboração: </w:t>
      </w:r>
      <w:r w:rsidRPr="00146E78">
        <w:rPr>
          <w:rFonts w:asciiTheme="minorHAnsi" w:hAnsiTheme="minorHAnsi" w:cstheme="minorHAnsi"/>
          <w:b/>
          <w:sz w:val="18"/>
          <w:szCs w:val="18"/>
        </w:rPr>
        <w:t>PREVIDÊNCIA: REFORMAR PARA EXCLUIR? (2017).</w:t>
      </w:r>
    </w:p>
    <w:p w:rsidR="004637C8" w:rsidRPr="004637C8" w:rsidRDefault="004637C8" w:rsidP="004637C8">
      <w:pPr>
        <w:autoSpaceDE w:val="0"/>
        <w:autoSpaceDN w:val="0"/>
        <w:adjustRightInd w:val="0"/>
        <w:jc w:val="both"/>
        <w:rPr>
          <w:rFonts w:ascii="Georgia" w:eastAsia="Calibri" w:hAnsi="Georgia" w:cs="Georgia"/>
          <w:lang w:eastAsia="en-US"/>
        </w:rPr>
      </w:pPr>
    </w:p>
    <w:p w:rsidR="004637C8" w:rsidRPr="004637C8" w:rsidRDefault="004637C8" w:rsidP="004637C8">
      <w:pPr>
        <w:autoSpaceDE w:val="0"/>
        <w:autoSpaceDN w:val="0"/>
        <w:adjustRightInd w:val="0"/>
        <w:jc w:val="both"/>
        <w:rPr>
          <w:rFonts w:ascii="Georgia" w:eastAsia="Calibri" w:hAnsi="Georgia" w:cs="Georgia"/>
          <w:lang w:eastAsia="en-US"/>
        </w:rPr>
      </w:pPr>
    </w:p>
    <w:p w:rsidR="004637C8" w:rsidRPr="004637C8" w:rsidRDefault="004637C8" w:rsidP="004637C8">
      <w:pPr>
        <w:autoSpaceDE w:val="0"/>
        <w:autoSpaceDN w:val="0"/>
        <w:adjustRightInd w:val="0"/>
        <w:jc w:val="both"/>
        <w:rPr>
          <w:rFonts w:ascii="Georgia" w:eastAsia="Calibri" w:hAnsi="Georgia"/>
          <w:lang w:eastAsia="en-US"/>
        </w:rPr>
      </w:pPr>
      <w:r w:rsidRPr="005136D9">
        <w:rPr>
          <w:rFonts w:ascii="Georgia" w:eastAsia="Calibri" w:hAnsi="Georgia" w:cs="Georgia"/>
          <w:lang w:eastAsia="en-US"/>
        </w:rPr>
        <w:t xml:space="preserve">Considerando, pois, o que reza a CF-88, não faz sentido falar em "déficit" porque existem outras fontes de recursos constitucionalmente asseguradas no Orçamento da Seguridade Social que também financiam a Previdência. Esse suposto rombo de R$85 bilhões, estimado pelo governo para o exercício de </w:t>
      </w:r>
      <w:r w:rsidRPr="004637C8">
        <w:rPr>
          <w:rFonts w:ascii="Georgia" w:eastAsia="Calibri" w:hAnsi="Georgia" w:cs="Georgia"/>
          <w:lang w:eastAsia="en-US"/>
        </w:rPr>
        <w:t xml:space="preserve">2015, poderia ter sido coberto com parte dos R$202 bilhões arrecadados pela Cofins, dos R$61 bilhões arrecadados pela CSLL e dos R$53 bilhões arrecadados pelo PIS/Pasep. Haveria ainda os R$63 </w:t>
      </w:r>
      <w:r w:rsidRPr="004637C8">
        <w:rPr>
          <w:rFonts w:ascii="Georgia" w:eastAsia="Calibri" w:hAnsi="Georgia"/>
          <w:lang w:eastAsia="en-US"/>
        </w:rPr>
        <w:t xml:space="preserve">bilhões capturados da Seguridade pela DRU e os R$157 bilhões de desonerações e renúncias de receitas pertencentes ao Sistema de Seguridade Social. </w:t>
      </w:r>
    </w:p>
    <w:p w:rsidR="004637C8" w:rsidRPr="004637C8" w:rsidRDefault="004637C8" w:rsidP="004637C8">
      <w:pPr>
        <w:autoSpaceDE w:val="0"/>
        <w:autoSpaceDN w:val="0"/>
        <w:adjustRightInd w:val="0"/>
        <w:jc w:val="both"/>
        <w:rPr>
          <w:rFonts w:ascii="Georgia" w:eastAsia="Calibri" w:hAnsi="Georgia"/>
          <w:lang w:eastAsia="en-US"/>
        </w:rPr>
      </w:pPr>
    </w:p>
    <w:p w:rsidR="004637C8" w:rsidRPr="004637C8" w:rsidRDefault="004637C8" w:rsidP="004637C8">
      <w:pPr>
        <w:autoSpaceDE w:val="0"/>
        <w:autoSpaceDN w:val="0"/>
        <w:adjustRightInd w:val="0"/>
        <w:jc w:val="both"/>
        <w:rPr>
          <w:rFonts w:ascii="Georgia" w:eastAsia="Calibri" w:hAnsi="Georgia"/>
          <w:b/>
          <w:lang w:eastAsia="en-US"/>
        </w:rPr>
      </w:pPr>
    </w:p>
    <w:p w:rsidR="001E0B50" w:rsidRPr="00566BE2" w:rsidRDefault="00566BE2" w:rsidP="001E0B50">
      <w:pPr>
        <w:pStyle w:val="Lista"/>
        <w:shd w:val="clear" w:color="auto" w:fill="FFFFFF" w:themeFill="background1"/>
        <w:spacing w:before="240" w:after="0"/>
        <w:jc w:val="both"/>
        <w:rPr>
          <w:rFonts w:ascii="Georgia" w:hAnsi="Georgia"/>
          <w:b/>
          <w:bCs/>
          <w:sz w:val="22"/>
          <w:szCs w:val="22"/>
        </w:rPr>
      </w:pPr>
      <w:r w:rsidRPr="00566BE2">
        <w:rPr>
          <w:rFonts w:ascii="Georgia" w:hAnsi="Georgia"/>
          <w:b/>
          <w:bCs/>
          <w:sz w:val="22"/>
          <w:szCs w:val="22"/>
        </w:rPr>
        <w:t>NOTA FINAL</w:t>
      </w:r>
    </w:p>
    <w:p w:rsidR="001E0B50" w:rsidRPr="00566BE2" w:rsidRDefault="001E0B50" w:rsidP="001E0B50">
      <w:pPr>
        <w:shd w:val="clear" w:color="auto" w:fill="FFFFFF" w:themeFill="background1"/>
        <w:spacing w:before="240"/>
        <w:jc w:val="both"/>
        <w:rPr>
          <w:rFonts w:ascii="Georgia" w:hAnsi="Georgia"/>
        </w:rPr>
      </w:pPr>
      <w:r w:rsidRPr="00566BE2">
        <w:rPr>
          <w:rFonts w:ascii="Georgia" w:hAnsi="Georgia" w:cs="Tahoma"/>
          <w:color w:val="000000"/>
        </w:rPr>
        <w:t>Nos últimos 2</w:t>
      </w:r>
      <w:r w:rsidR="0020202E" w:rsidRPr="00566BE2">
        <w:rPr>
          <w:rFonts w:ascii="Georgia" w:hAnsi="Georgia" w:cs="Tahoma"/>
          <w:color w:val="000000"/>
        </w:rPr>
        <w:t>7</w:t>
      </w:r>
      <w:r w:rsidRPr="00566BE2">
        <w:rPr>
          <w:rFonts w:ascii="Georgia" w:hAnsi="Georgia" w:cs="Tahoma"/>
          <w:color w:val="000000"/>
        </w:rPr>
        <w:t xml:space="preserve"> anos, no tocante à Seguridade Social, a Constituição Cidadã viveu um calvário e sobreviveu mutilada e transfigurada. Todos os governos, desde 1989, optaram </w:t>
      </w:r>
      <w:r w:rsidRPr="00566BE2">
        <w:rPr>
          <w:rFonts w:ascii="Georgia" w:hAnsi="Georgia"/>
        </w:rPr>
        <w:t>por desfigurar e descumprir princípios fundamentais da Organização da Seguridade Social, do Orçamento da Seguridade Social e dos mecanismos que asseguravam o controle social sobre os rumos das políticas de saúde, previdência e assistência social (Conselho Nacional da Seguridade Social</w:t>
      </w:r>
      <w:r w:rsidR="009D1E50" w:rsidRPr="00566BE2">
        <w:rPr>
          <w:rFonts w:ascii="Georgia" w:hAnsi="Georgia"/>
        </w:rPr>
        <w:t>).</w:t>
      </w:r>
      <w:r w:rsidRPr="00566BE2">
        <w:rPr>
          <w:rFonts w:ascii="Georgia" w:hAnsi="Georgia"/>
        </w:rPr>
        <w:t xml:space="preserve"> </w:t>
      </w:r>
    </w:p>
    <w:p w:rsidR="00FC5877" w:rsidRPr="00566BE2" w:rsidRDefault="001E0B50" w:rsidP="001E0B50">
      <w:pPr>
        <w:shd w:val="clear" w:color="auto" w:fill="FFFFFF" w:themeFill="background1"/>
        <w:spacing w:before="240"/>
        <w:jc w:val="both"/>
        <w:rPr>
          <w:rFonts w:ascii="Georgia" w:hAnsi="Georgia"/>
        </w:rPr>
      </w:pPr>
      <w:r w:rsidRPr="00566BE2">
        <w:rPr>
          <w:rFonts w:ascii="Georgia" w:hAnsi="Georgia"/>
        </w:rPr>
        <w:t xml:space="preserve">Após mais de </w:t>
      </w:r>
      <w:r w:rsidR="007559BE" w:rsidRPr="00566BE2">
        <w:rPr>
          <w:rFonts w:ascii="Georgia" w:hAnsi="Georgia"/>
        </w:rPr>
        <w:t xml:space="preserve">duas décadas </w:t>
      </w:r>
      <w:r w:rsidRPr="00566BE2">
        <w:rPr>
          <w:rFonts w:ascii="Georgia" w:hAnsi="Georgia"/>
        </w:rPr>
        <w:t xml:space="preserve">de debates baseados em mitos e falsos argumentos, alimentados por amplos setores da mídia e do mercado, </w:t>
      </w:r>
      <w:r w:rsidR="007559BE" w:rsidRPr="00566BE2">
        <w:rPr>
          <w:rFonts w:ascii="Georgia" w:hAnsi="Georgia"/>
        </w:rPr>
        <w:t xml:space="preserve">o “déficit” da Previdência </w:t>
      </w:r>
      <w:r w:rsidR="003351E4" w:rsidRPr="00566BE2">
        <w:rPr>
          <w:rFonts w:ascii="Georgia" w:hAnsi="Georgia"/>
        </w:rPr>
        <w:t>se transformou em c</w:t>
      </w:r>
      <w:r w:rsidR="007559BE" w:rsidRPr="00566BE2">
        <w:rPr>
          <w:rFonts w:ascii="Georgia" w:hAnsi="Georgia"/>
        </w:rPr>
        <w:t xml:space="preserve">onsenso </w:t>
      </w:r>
      <w:r w:rsidR="003351E4" w:rsidRPr="00566BE2">
        <w:rPr>
          <w:rFonts w:ascii="Georgia" w:hAnsi="Georgia"/>
        </w:rPr>
        <w:t xml:space="preserve">para o </w:t>
      </w:r>
      <w:r w:rsidR="007559BE" w:rsidRPr="00566BE2">
        <w:rPr>
          <w:rFonts w:ascii="Georgia" w:hAnsi="Georgia"/>
        </w:rPr>
        <w:t xml:space="preserve">senso comum.  </w:t>
      </w:r>
      <w:r w:rsidR="003351E4" w:rsidRPr="00566BE2">
        <w:rPr>
          <w:rFonts w:ascii="Georgia" w:hAnsi="Georgia"/>
        </w:rPr>
        <w:t>E, hoje, enfrentar esse suposto “déficit”</w:t>
      </w:r>
      <w:r w:rsidR="00FC5877" w:rsidRPr="00566BE2">
        <w:rPr>
          <w:rFonts w:ascii="Georgia" w:hAnsi="Georgia"/>
        </w:rPr>
        <w:t>, passou a ser a principal j</w:t>
      </w:r>
      <w:r w:rsidR="003351E4" w:rsidRPr="00566BE2">
        <w:rPr>
          <w:rFonts w:ascii="Georgia" w:hAnsi="Georgia"/>
        </w:rPr>
        <w:t xml:space="preserve">ustificativa </w:t>
      </w:r>
      <w:r w:rsidR="00FC5877" w:rsidRPr="00566BE2">
        <w:rPr>
          <w:rFonts w:ascii="Georgia" w:hAnsi="Georgia"/>
        </w:rPr>
        <w:t>da PEC 287.</w:t>
      </w:r>
    </w:p>
    <w:p w:rsidR="002078FE" w:rsidRPr="00566BE2" w:rsidRDefault="001E0B50" w:rsidP="002078FE">
      <w:pPr>
        <w:shd w:val="clear" w:color="auto" w:fill="FFFFFF" w:themeFill="background1"/>
        <w:spacing w:before="240"/>
        <w:jc w:val="both"/>
        <w:rPr>
          <w:rFonts w:ascii="Georgia" w:hAnsi="Georgia"/>
          <w:lang w:eastAsia="en-US"/>
        </w:rPr>
      </w:pPr>
      <w:r w:rsidRPr="00566BE2">
        <w:rPr>
          <w:rFonts w:ascii="Georgia" w:hAnsi="Georgia"/>
        </w:rPr>
        <w:t xml:space="preserve">O propósito deste texto é incentivar o debate entre juristas e constitucionalistas. A contribuição desses profissionais é fundamental neste momento, sobretudo pela </w:t>
      </w:r>
      <w:r w:rsidR="00FC5877" w:rsidRPr="00566BE2">
        <w:rPr>
          <w:rFonts w:ascii="Georgia" w:hAnsi="Georgia"/>
        </w:rPr>
        <w:t xml:space="preserve">gravidade da conjuntura. O Brasil é o país da “tragédia anunciada”, como revela </w:t>
      </w:r>
      <w:r w:rsidR="00FC5877" w:rsidRPr="00FC5877">
        <w:rPr>
          <w:rFonts w:ascii="Georgia" w:hAnsi="Georgia"/>
          <w:lang w:eastAsia="en-US"/>
        </w:rPr>
        <w:t>a crise do sistema prisional, por exemplo</w:t>
      </w:r>
      <w:r w:rsidR="00FC5877" w:rsidRPr="00566BE2">
        <w:rPr>
          <w:rFonts w:ascii="Georgia" w:hAnsi="Georgia"/>
          <w:lang w:eastAsia="en-US"/>
        </w:rPr>
        <w:t>.</w:t>
      </w:r>
      <w:r w:rsidR="002078FE" w:rsidRPr="00566BE2">
        <w:rPr>
          <w:rFonts w:ascii="Georgia" w:hAnsi="Georgia"/>
          <w:lang w:eastAsia="en-US"/>
        </w:rPr>
        <w:t xml:space="preserve"> A tragédia da desproteção social começa a ser tecida agora</w:t>
      </w:r>
      <w:r w:rsidR="00566BE2">
        <w:rPr>
          <w:rFonts w:ascii="Georgia" w:hAnsi="Georgia"/>
          <w:lang w:eastAsia="en-US"/>
        </w:rPr>
        <w:t xml:space="preserve">, ironicamente, </w:t>
      </w:r>
      <w:r w:rsidR="002078FE" w:rsidRPr="00566BE2">
        <w:rPr>
          <w:rFonts w:ascii="Georgia" w:hAnsi="Georgia"/>
          <w:lang w:eastAsia="en-US"/>
        </w:rPr>
        <w:t>com base em mitos, falácias e aparentes inconstitucionalidades.</w:t>
      </w:r>
      <w:r w:rsidR="006B3675">
        <w:rPr>
          <w:rFonts w:ascii="Georgia" w:hAnsi="Georgia"/>
          <w:lang w:eastAsia="en-US"/>
        </w:rPr>
        <w:t xml:space="preserve"> Qual a visão dos juristas? </w:t>
      </w:r>
      <w:r w:rsidR="002078FE" w:rsidRPr="00566BE2">
        <w:rPr>
          <w:rFonts w:ascii="Georgia" w:hAnsi="Georgia"/>
          <w:lang w:eastAsia="en-US"/>
        </w:rPr>
        <w:t xml:space="preserve"> </w:t>
      </w:r>
    </w:p>
    <w:p w:rsidR="00566BE2" w:rsidRDefault="00566BE2" w:rsidP="002078FE">
      <w:pPr>
        <w:shd w:val="clear" w:color="auto" w:fill="FFFFFF" w:themeFill="background1"/>
        <w:spacing w:before="240"/>
        <w:jc w:val="both"/>
        <w:rPr>
          <w:rFonts w:ascii="Calibri Light" w:eastAsia="font341" w:hAnsi="Calibri Light" w:cs="font341"/>
          <w:b/>
          <w:bCs/>
          <w:kern w:val="1"/>
          <w:sz w:val="28"/>
          <w:szCs w:val="28"/>
          <w:lang w:eastAsia="en-US"/>
        </w:rPr>
      </w:pPr>
    </w:p>
    <w:p w:rsidR="001E0B50" w:rsidRPr="001E0B50" w:rsidRDefault="002078FE" w:rsidP="002078FE">
      <w:pPr>
        <w:shd w:val="clear" w:color="auto" w:fill="FFFFFF" w:themeFill="background1"/>
        <w:spacing w:before="240"/>
        <w:jc w:val="both"/>
        <w:rPr>
          <w:rFonts w:ascii="Georgia" w:hAnsi="Georgia"/>
          <w:sz w:val="22"/>
          <w:szCs w:val="22"/>
        </w:rPr>
      </w:pPr>
      <w:r>
        <w:rPr>
          <w:rFonts w:ascii="Calibri Light" w:eastAsia="font341" w:hAnsi="Calibri Light" w:cs="font341"/>
          <w:b/>
          <w:bCs/>
          <w:kern w:val="1"/>
          <w:sz w:val="28"/>
          <w:szCs w:val="28"/>
          <w:lang w:eastAsia="en-US"/>
        </w:rPr>
        <w:t xml:space="preserve">Referências </w:t>
      </w:r>
    </w:p>
    <w:p w:rsidR="00566BE2" w:rsidRDefault="00566BE2" w:rsidP="00566BE2">
      <w:pPr>
        <w:shd w:val="clear" w:color="auto" w:fill="FFFFFF" w:themeFill="background1"/>
        <w:spacing w:before="240"/>
        <w:jc w:val="both"/>
        <w:rPr>
          <w:rFonts w:ascii="Georgia" w:hAnsi="Georgia"/>
          <w:sz w:val="22"/>
          <w:szCs w:val="22"/>
        </w:rPr>
      </w:pPr>
    </w:p>
    <w:p w:rsidR="00566BE2" w:rsidRPr="00566BE2" w:rsidRDefault="00566BE2" w:rsidP="00566BE2">
      <w:pPr>
        <w:spacing w:before="120" w:after="120"/>
        <w:jc w:val="both"/>
        <w:rPr>
          <w:rFonts w:asciiTheme="minorHAnsi" w:eastAsiaTheme="minorHAnsi" w:hAnsiTheme="minorHAnsi" w:cstheme="minorHAnsi"/>
          <w:sz w:val="18"/>
          <w:szCs w:val="18"/>
          <w:lang w:eastAsia="en-US"/>
        </w:rPr>
      </w:pPr>
      <w:r w:rsidRPr="00566BE2">
        <w:rPr>
          <w:rFonts w:asciiTheme="minorHAnsi" w:eastAsiaTheme="minorHAnsi" w:hAnsiTheme="minorHAnsi" w:cstheme="minorHAnsi"/>
          <w:sz w:val="18"/>
          <w:szCs w:val="18"/>
          <w:lang w:eastAsia="en-US"/>
        </w:rPr>
        <w:t xml:space="preserve">ANFIP (2015). </w:t>
      </w:r>
      <w:r w:rsidRPr="00566BE2">
        <w:rPr>
          <w:rFonts w:asciiTheme="minorHAnsi" w:eastAsiaTheme="minorHAnsi" w:hAnsiTheme="minorHAnsi" w:cstheme="minorHAnsi"/>
          <w:b/>
          <w:sz w:val="18"/>
          <w:szCs w:val="18"/>
          <w:lang w:eastAsia="en-US"/>
        </w:rPr>
        <w:t>Análise da Seguridade Social 2014.</w:t>
      </w:r>
      <w:r w:rsidRPr="00566BE2">
        <w:rPr>
          <w:rFonts w:asciiTheme="minorHAnsi" w:eastAsiaTheme="minorHAnsi" w:hAnsiTheme="minorHAnsi" w:cstheme="minorHAnsi"/>
          <w:sz w:val="18"/>
          <w:szCs w:val="18"/>
          <w:lang w:eastAsia="en-US"/>
        </w:rPr>
        <w:t xml:space="preserve"> Associação Nacional dos Auditores da Receita Federal do Brasil e Fundação ANFIP de Estudos da Seguridade Social Brasília: ANFIP.</w:t>
      </w:r>
    </w:p>
    <w:p w:rsidR="00566BE2" w:rsidRPr="00566BE2" w:rsidRDefault="00566BE2" w:rsidP="00566BE2">
      <w:pPr>
        <w:shd w:val="clear" w:color="auto" w:fill="FFFFFF" w:themeFill="background1"/>
        <w:spacing w:before="120" w:after="120"/>
        <w:jc w:val="both"/>
        <w:rPr>
          <w:rFonts w:asciiTheme="minorHAnsi" w:hAnsiTheme="minorHAnsi" w:cstheme="minorHAnsi"/>
          <w:sz w:val="18"/>
          <w:szCs w:val="18"/>
        </w:rPr>
      </w:pPr>
      <w:r w:rsidRPr="00566BE2">
        <w:rPr>
          <w:rFonts w:asciiTheme="minorHAnsi" w:hAnsiTheme="minorHAnsi" w:cstheme="minorHAnsi"/>
          <w:sz w:val="18"/>
          <w:szCs w:val="18"/>
        </w:rPr>
        <w:t xml:space="preserve"> AZEREDO, B. (1989). </w:t>
      </w:r>
      <w:r w:rsidRPr="00291E7D">
        <w:rPr>
          <w:rFonts w:asciiTheme="minorHAnsi" w:hAnsiTheme="minorHAnsi" w:cstheme="minorHAnsi"/>
          <w:b/>
          <w:iCs/>
          <w:sz w:val="18"/>
          <w:szCs w:val="18"/>
        </w:rPr>
        <w:t>Perspectivas para o Programa de Seguro Desemprego</w:t>
      </w:r>
      <w:r w:rsidRPr="00566BE2">
        <w:rPr>
          <w:rFonts w:asciiTheme="minorHAnsi" w:hAnsiTheme="minorHAnsi" w:cstheme="minorHAnsi"/>
          <w:sz w:val="18"/>
          <w:szCs w:val="18"/>
        </w:rPr>
        <w:t xml:space="preserve">, nov. Rio de Janeiro: UFRJ-IEI. </w:t>
      </w:r>
    </w:p>
    <w:p w:rsidR="00566BE2" w:rsidRPr="00566BE2" w:rsidRDefault="00566BE2" w:rsidP="00566BE2">
      <w:pPr>
        <w:pStyle w:val="Commarcadores"/>
        <w:numPr>
          <w:ilvl w:val="0"/>
          <w:numId w:val="0"/>
        </w:numPr>
        <w:shd w:val="clear" w:color="auto" w:fill="FFFFFF" w:themeFill="background1"/>
        <w:spacing w:before="120" w:after="120"/>
        <w:contextualSpacing w:val="0"/>
        <w:jc w:val="both"/>
        <w:rPr>
          <w:rFonts w:asciiTheme="minorHAnsi" w:eastAsia="Arial Unicode MS" w:hAnsiTheme="minorHAnsi" w:cstheme="minorHAnsi"/>
          <w:i/>
          <w:color w:val="000000"/>
          <w:sz w:val="18"/>
          <w:szCs w:val="18"/>
        </w:rPr>
      </w:pPr>
      <w:r w:rsidRPr="00566BE2">
        <w:rPr>
          <w:rFonts w:asciiTheme="minorHAnsi" w:eastAsia="Arial Unicode MS" w:hAnsiTheme="minorHAnsi" w:cstheme="minorHAnsi"/>
          <w:color w:val="000000"/>
          <w:sz w:val="18"/>
          <w:szCs w:val="18"/>
        </w:rPr>
        <w:t xml:space="preserve">AZEREDO, B. (1990). </w:t>
      </w:r>
      <w:r w:rsidRPr="00291E7D">
        <w:rPr>
          <w:rFonts w:asciiTheme="minorHAnsi" w:eastAsia="Arial Unicode MS" w:hAnsiTheme="minorHAnsi" w:cstheme="minorHAnsi"/>
          <w:b/>
          <w:color w:val="000000"/>
          <w:sz w:val="18"/>
          <w:szCs w:val="18"/>
        </w:rPr>
        <w:t>Da previdência à seguridade: os perigos da transição</w:t>
      </w:r>
      <w:r w:rsidRPr="00566BE2">
        <w:rPr>
          <w:rFonts w:asciiTheme="minorHAnsi" w:eastAsia="Arial Unicode MS" w:hAnsiTheme="minorHAnsi" w:cstheme="minorHAnsi"/>
          <w:color w:val="000000"/>
          <w:sz w:val="18"/>
          <w:szCs w:val="18"/>
        </w:rPr>
        <w:t>. Ri</w:t>
      </w:r>
      <w:r w:rsidRPr="00566BE2" w:rsidDel="003D6896">
        <w:rPr>
          <w:rFonts w:asciiTheme="minorHAnsi" w:eastAsia="Arial Unicode MS" w:hAnsiTheme="minorHAnsi" w:cstheme="minorHAnsi"/>
          <w:color w:val="000000"/>
          <w:sz w:val="18"/>
          <w:szCs w:val="18"/>
        </w:rPr>
        <w:t>o Janeiro</w:t>
      </w:r>
      <w:r w:rsidRPr="00566BE2">
        <w:rPr>
          <w:rFonts w:asciiTheme="minorHAnsi" w:eastAsia="Arial Unicode MS" w:hAnsiTheme="minorHAnsi" w:cstheme="minorHAnsi"/>
          <w:color w:val="000000"/>
          <w:sz w:val="18"/>
          <w:szCs w:val="18"/>
        </w:rPr>
        <w:t xml:space="preserve">: </w:t>
      </w:r>
      <w:r w:rsidRPr="00566BE2">
        <w:rPr>
          <w:rFonts w:asciiTheme="minorHAnsi" w:hAnsiTheme="minorHAnsi" w:cstheme="minorHAnsi"/>
          <w:iCs/>
          <w:color w:val="000000"/>
          <w:sz w:val="18"/>
          <w:szCs w:val="18"/>
        </w:rPr>
        <w:t xml:space="preserve">UFRJ-IEI </w:t>
      </w:r>
      <w:r w:rsidRPr="00566BE2">
        <w:rPr>
          <w:rFonts w:asciiTheme="minorHAnsi" w:eastAsia="Arial Unicode MS" w:hAnsiTheme="minorHAnsi" w:cstheme="minorHAnsi"/>
          <w:color w:val="000000"/>
          <w:sz w:val="18"/>
          <w:szCs w:val="18"/>
        </w:rPr>
        <w:t>(TD</w:t>
      </w:r>
      <w:r w:rsidRPr="00566BE2" w:rsidDel="003D6896">
        <w:rPr>
          <w:rFonts w:asciiTheme="minorHAnsi" w:eastAsia="Arial Unicode MS" w:hAnsiTheme="minorHAnsi" w:cstheme="minorHAnsi"/>
          <w:color w:val="000000"/>
          <w:sz w:val="18"/>
          <w:szCs w:val="18"/>
        </w:rPr>
        <w:t xml:space="preserve"> n</w:t>
      </w:r>
      <w:r w:rsidRPr="00566BE2">
        <w:rPr>
          <w:rFonts w:asciiTheme="minorHAnsi" w:eastAsia="Arial Unicode MS" w:hAnsiTheme="minorHAnsi" w:cstheme="minorHAnsi"/>
          <w:color w:val="000000"/>
          <w:sz w:val="18"/>
          <w:szCs w:val="18"/>
        </w:rPr>
        <w:t xml:space="preserve">. 228). </w:t>
      </w:r>
    </w:p>
    <w:p w:rsidR="00566BE2" w:rsidRPr="00566BE2" w:rsidRDefault="00566BE2" w:rsidP="00566BE2">
      <w:pPr>
        <w:shd w:val="clear" w:color="auto" w:fill="FFFFFF" w:themeFill="background1"/>
        <w:spacing w:before="120" w:after="120"/>
        <w:jc w:val="both"/>
        <w:rPr>
          <w:rFonts w:asciiTheme="minorHAnsi" w:hAnsiTheme="minorHAnsi" w:cstheme="minorHAnsi"/>
          <w:iCs/>
          <w:color w:val="000000"/>
          <w:sz w:val="18"/>
          <w:szCs w:val="18"/>
        </w:rPr>
      </w:pPr>
      <w:r w:rsidRPr="00566BE2">
        <w:rPr>
          <w:rFonts w:asciiTheme="minorHAnsi" w:hAnsiTheme="minorHAnsi" w:cstheme="minorHAnsi"/>
          <w:iCs/>
          <w:color w:val="000000"/>
          <w:sz w:val="18"/>
          <w:szCs w:val="18"/>
        </w:rPr>
        <w:t xml:space="preserve">AZEREDO, B. (1993). </w:t>
      </w:r>
      <w:r w:rsidRPr="00291E7D">
        <w:rPr>
          <w:rFonts w:asciiTheme="minorHAnsi" w:hAnsiTheme="minorHAnsi" w:cstheme="minorHAnsi"/>
          <w:b/>
          <w:iCs/>
          <w:color w:val="000000"/>
          <w:sz w:val="18"/>
          <w:szCs w:val="18"/>
        </w:rPr>
        <w:t>O sistema previdenciário brasileiro: diagnóstico e perspectivas de mudança</w:t>
      </w:r>
      <w:r w:rsidRPr="00566BE2">
        <w:rPr>
          <w:rFonts w:asciiTheme="minorHAnsi" w:hAnsiTheme="minorHAnsi" w:cstheme="minorHAnsi"/>
          <w:iCs/>
          <w:color w:val="000000"/>
          <w:sz w:val="18"/>
          <w:szCs w:val="18"/>
        </w:rPr>
        <w:t xml:space="preserve">. Rio de Janeiro: Centro de Estudos de Políticas Públicas. </w:t>
      </w:r>
    </w:p>
    <w:p w:rsidR="00566BE2" w:rsidRPr="00566BE2" w:rsidRDefault="00566BE2" w:rsidP="00566BE2">
      <w:pPr>
        <w:pStyle w:val="Textodenotaderodap"/>
        <w:shd w:val="clear" w:color="auto" w:fill="FFFFFF" w:themeFill="background1"/>
        <w:spacing w:before="120" w:after="120"/>
        <w:jc w:val="both"/>
        <w:rPr>
          <w:rFonts w:asciiTheme="minorHAnsi" w:hAnsiTheme="minorHAnsi" w:cstheme="minorHAnsi"/>
          <w:sz w:val="18"/>
          <w:szCs w:val="18"/>
        </w:rPr>
      </w:pPr>
      <w:r w:rsidRPr="00566BE2">
        <w:rPr>
          <w:rFonts w:asciiTheme="minorHAnsi" w:hAnsiTheme="minorHAnsi" w:cstheme="minorHAnsi"/>
          <w:sz w:val="18"/>
          <w:szCs w:val="18"/>
        </w:rPr>
        <w:t xml:space="preserve">CAMPOS, Roberto (1994). </w:t>
      </w:r>
      <w:r w:rsidRPr="00291E7D">
        <w:rPr>
          <w:rFonts w:asciiTheme="minorHAnsi" w:hAnsiTheme="minorHAnsi" w:cstheme="minorHAnsi"/>
          <w:b/>
          <w:sz w:val="18"/>
          <w:szCs w:val="18"/>
        </w:rPr>
        <w:t>A Lanterna na popa: memórias</w:t>
      </w:r>
      <w:r w:rsidRPr="00566BE2">
        <w:rPr>
          <w:rFonts w:asciiTheme="minorHAnsi" w:hAnsiTheme="minorHAnsi" w:cstheme="minorHAnsi"/>
          <w:sz w:val="18"/>
          <w:szCs w:val="18"/>
        </w:rPr>
        <w:t xml:space="preserve">. Rio de Janeiro: Top books. </w:t>
      </w:r>
    </w:p>
    <w:p w:rsidR="006B3675" w:rsidRPr="006B3675" w:rsidRDefault="006B3675" w:rsidP="006B3675">
      <w:pPr>
        <w:spacing w:before="120"/>
        <w:rPr>
          <w:rFonts w:ascii="Georgia" w:eastAsiaTheme="minorHAnsi" w:hAnsi="Georgia" w:cs="Arial"/>
          <w:sz w:val="18"/>
          <w:szCs w:val="18"/>
          <w:lang w:eastAsia="en-US"/>
        </w:rPr>
      </w:pPr>
      <w:r w:rsidRPr="006B3675">
        <w:rPr>
          <w:rFonts w:ascii="Georgia" w:eastAsiaTheme="minorHAnsi" w:hAnsi="Georgia" w:cs="Arial"/>
          <w:sz w:val="18"/>
          <w:szCs w:val="18"/>
          <w:lang w:eastAsia="en-US"/>
        </w:rPr>
        <w:t xml:space="preserve">CHERULLI, D. (2016). </w:t>
      </w:r>
      <w:r w:rsidRPr="006B3675">
        <w:rPr>
          <w:rFonts w:ascii="Georgia" w:eastAsiaTheme="minorHAnsi" w:hAnsi="Georgia" w:cs="Arial"/>
          <w:b/>
          <w:sz w:val="18"/>
          <w:szCs w:val="18"/>
          <w:lang w:eastAsia="en-US"/>
        </w:rPr>
        <w:t>Origem jurídica do argumento do déficit da Previdência: desprezo na interpretação constitucional.</w:t>
      </w:r>
      <w:r w:rsidRPr="006B3675">
        <w:rPr>
          <w:rFonts w:ascii="Georgia" w:eastAsiaTheme="minorHAnsi" w:hAnsi="Georgia" w:cs="Arial"/>
          <w:sz w:val="18"/>
          <w:szCs w:val="18"/>
          <w:lang w:eastAsia="en-US"/>
        </w:rPr>
        <w:t xml:space="preserve"> São Paulo: Plataforma Política Social </w:t>
      </w:r>
      <w:hyperlink r:id="rId15" w:history="1">
        <w:r w:rsidRPr="006B3675">
          <w:rPr>
            <w:rFonts w:ascii="Georgia" w:eastAsiaTheme="minorHAnsi" w:hAnsi="Georgia" w:cs="Arial"/>
            <w:color w:val="0000FF" w:themeColor="hyperlink"/>
            <w:sz w:val="18"/>
            <w:szCs w:val="18"/>
            <w:u w:val="single"/>
            <w:lang w:eastAsia="en-US"/>
          </w:rPr>
          <w:t>http://plataformapoliticasocial.com.br/origem-juridica-do-argumento-do-deficit-da-previdencia-desprezo-na-interpretacao-constitucional/</w:t>
        </w:r>
      </w:hyperlink>
      <w:r w:rsidRPr="006B3675">
        <w:rPr>
          <w:rFonts w:ascii="Georgia" w:eastAsiaTheme="minorHAnsi" w:hAnsi="Georgia" w:cs="Arial"/>
          <w:sz w:val="18"/>
          <w:szCs w:val="18"/>
          <w:lang w:eastAsia="en-US"/>
        </w:rPr>
        <w:t xml:space="preserve"> </w:t>
      </w:r>
    </w:p>
    <w:p w:rsidR="00566BE2" w:rsidRPr="00566BE2" w:rsidRDefault="00566BE2" w:rsidP="00566BE2">
      <w:pPr>
        <w:pStyle w:val="relc-BIBI1"/>
        <w:shd w:val="clear" w:color="auto" w:fill="FFFFFF" w:themeFill="background1"/>
        <w:spacing w:before="120" w:line="240" w:lineRule="auto"/>
        <w:ind w:left="0" w:firstLine="0"/>
        <w:rPr>
          <w:rFonts w:asciiTheme="minorHAnsi" w:hAnsiTheme="minorHAnsi" w:cstheme="minorHAnsi"/>
          <w:i w:val="0"/>
          <w:color w:val="000000"/>
          <w:sz w:val="18"/>
          <w:szCs w:val="18"/>
        </w:rPr>
      </w:pPr>
      <w:r w:rsidRPr="00566BE2">
        <w:rPr>
          <w:rFonts w:asciiTheme="minorHAnsi" w:hAnsiTheme="minorHAnsi" w:cstheme="minorHAnsi"/>
          <w:i w:val="0"/>
          <w:color w:val="000000"/>
          <w:sz w:val="18"/>
          <w:szCs w:val="18"/>
        </w:rPr>
        <w:t>FAGNANI, E. (2005</w:t>
      </w:r>
      <w:r w:rsidR="00331FE3">
        <w:rPr>
          <w:rFonts w:asciiTheme="minorHAnsi" w:hAnsiTheme="minorHAnsi" w:cstheme="minorHAnsi"/>
          <w:i w:val="0"/>
          <w:color w:val="000000"/>
          <w:sz w:val="18"/>
          <w:szCs w:val="18"/>
        </w:rPr>
        <w:t xml:space="preserve"> - B</w:t>
      </w:r>
      <w:r w:rsidRPr="00566BE2">
        <w:rPr>
          <w:rFonts w:asciiTheme="minorHAnsi" w:hAnsiTheme="minorHAnsi" w:cstheme="minorHAnsi"/>
          <w:i w:val="0"/>
          <w:color w:val="000000"/>
          <w:sz w:val="18"/>
          <w:szCs w:val="18"/>
        </w:rPr>
        <w:t>)</w:t>
      </w:r>
      <w:r w:rsidR="00331FE3">
        <w:rPr>
          <w:rFonts w:asciiTheme="minorHAnsi" w:hAnsiTheme="minorHAnsi" w:cstheme="minorHAnsi"/>
          <w:i w:val="0"/>
          <w:color w:val="000000"/>
          <w:sz w:val="18"/>
          <w:szCs w:val="18"/>
        </w:rPr>
        <w:t xml:space="preserve">. </w:t>
      </w:r>
      <w:r w:rsidRPr="00331FE3">
        <w:rPr>
          <w:rFonts w:asciiTheme="minorHAnsi" w:hAnsiTheme="minorHAnsi" w:cstheme="minorHAnsi"/>
          <w:b/>
          <w:i w:val="0"/>
          <w:color w:val="000000"/>
          <w:sz w:val="18"/>
          <w:szCs w:val="18"/>
        </w:rPr>
        <w:t>Déficit Nominal Zero: A Proteção Social na Marca do Pênalti</w:t>
      </w:r>
      <w:r w:rsidRPr="00566BE2">
        <w:rPr>
          <w:rFonts w:asciiTheme="minorHAnsi" w:hAnsiTheme="minorHAnsi" w:cstheme="minorHAnsi"/>
          <w:i w:val="0"/>
          <w:color w:val="000000"/>
          <w:sz w:val="18"/>
          <w:szCs w:val="18"/>
        </w:rPr>
        <w:t>. Carta Social e do Trabalho, n.2, Campinas: Cesit-IE-Unicamp. Publicação eletrônica (www.eco.unicamp.br)- ISSN 1980-5144.</w:t>
      </w:r>
    </w:p>
    <w:p w:rsidR="00566BE2" w:rsidRPr="00566BE2" w:rsidRDefault="00566BE2" w:rsidP="00566BE2">
      <w:pPr>
        <w:pStyle w:val="Recuodecorpodetexto3"/>
        <w:shd w:val="clear" w:color="auto" w:fill="FFFFFF" w:themeFill="background1"/>
        <w:spacing w:before="120"/>
        <w:ind w:left="0"/>
        <w:jc w:val="both"/>
        <w:rPr>
          <w:rFonts w:asciiTheme="minorHAnsi" w:hAnsiTheme="minorHAnsi" w:cstheme="minorHAnsi"/>
          <w:sz w:val="18"/>
          <w:szCs w:val="18"/>
        </w:rPr>
      </w:pPr>
      <w:r w:rsidRPr="00566BE2">
        <w:rPr>
          <w:rFonts w:asciiTheme="minorHAnsi" w:hAnsiTheme="minorHAnsi" w:cstheme="minorHAnsi"/>
          <w:sz w:val="18"/>
          <w:szCs w:val="18"/>
        </w:rPr>
        <w:t xml:space="preserve">FAGNANI, E. (2005). </w:t>
      </w:r>
      <w:r w:rsidRPr="00331FE3">
        <w:rPr>
          <w:rFonts w:asciiTheme="minorHAnsi" w:hAnsiTheme="minorHAnsi" w:cstheme="minorHAnsi"/>
          <w:b/>
          <w:sz w:val="18"/>
          <w:szCs w:val="18"/>
        </w:rPr>
        <w:t>Política social no Brasil (1964-2002): entre a cidadania e a caridade</w:t>
      </w:r>
      <w:r w:rsidRPr="00566BE2">
        <w:rPr>
          <w:rFonts w:asciiTheme="minorHAnsi" w:hAnsiTheme="minorHAnsi" w:cstheme="minorHAnsi"/>
          <w:sz w:val="18"/>
          <w:szCs w:val="18"/>
        </w:rPr>
        <w:t>. Campinas: Instituto de Economia da Unicamp (Tese Doutorado).</w:t>
      </w:r>
    </w:p>
    <w:p w:rsidR="00566BE2" w:rsidRPr="00566BE2" w:rsidRDefault="00566BE2" w:rsidP="00566BE2">
      <w:pPr>
        <w:shd w:val="clear" w:color="auto" w:fill="FFFFFF" w:themeFill="background1"/>
        <w:spacing w:before="120" w:after="120"/>
        <w:jc w:val="both"/>
        <w:rPr>
          <w:rFonts w:asciiTheme="minorHAnsi" w:hAnsiTheme="minorHAnsi" w:cstheme="minorHAnsi"/>
          <w:color w:val="000000"/>
          <w:sz w:val="18"/>
          <w:szCs w:val="18"/>
        </w:rPr>
      </w:pPr>
      <w:r w:rsidRPr="00566BE2">
        <w:rPr>
          <w:rFonts w:asciiTheme="minorHAnsi" w:hAnsiTheme="minorHAnsi" w:cstheme="minorHAnsi"/>
          <w:color w:val="000000"/>
          <w:sz w:val="18"/>
          <w:szCs w:val="18"/>
        </w:rPr>
        <w:t xml:space="preserve">GIAMBIAGGI, F (2007). </w:t>
      </w:r>
      <w:r w:rsidRPr="00331FE3">
        <w:rPr>
          <w:rFonts w:asciiTheme="minorHAnsi" w:hAnsiTheme="minorHAnsi" w:cstheme="minorHAnsi"/>
          <w:b/>
          <w:color w:val="000000"/>
          <w:sz w:val="18"/>
          <w:szCs w:val="18"/>
        </w:rPr>
        <w:t>As raízes do atraso: paternalismo X produtividade</w:t>
      </w:r>
      <w:r w:rsidRPr="00566BE2">
        <w:rPr>
          <w:rFonts w:asciiTheme="minorHAnsi" w:hAnsiTheme="minorHAnsi" w:cstheme="minorHAnsi"/>
          <w:color w:val="000000"/>
          <w:sz w:val="18"/>
          <w:szCs w:val="18"/>
        </w:rPr>
        <w:t xml:space="preserve">. Rio de Janeiro: Elsevier. </w:t>
      </w:r>
    </w:p>
    <w:p w:rsidR="00566BE2" w:rsidRPr="00566BE2" w:rsidRDefault="00566BE2" w:rsidP="00566BE2">
      <w:pPr>
        <w:pStyle w:val="Textodenotaderodap"/>
        <w:shd w:val="clear" w:color="auto" w:fill="FFFFFF" w:themeFill="background1"/>
        <w:spacing w:before="120" w:after="120"/>
        <w:jc w:val="both"/>
        <w:rPr>
          <w:rFonts w:asciiTheme="minorHAnsi" w:hAnsiTheme="minorHAnsi" w:cstheme="minorHAnsi"/>
          <w:sz w:val="18"/>
          <w:szCs w:val="18"/>
        </w:rPr>
      </w:pPr>
      <w:r w:rsidRPr="00566BE2">
        <w:rPr>
          <w:rFonts w:asciiTheme="minorHAnsi" w:hAnsiTheme="minorHAnsi" w:cstheme="minorHAnsi"/>
          <w:sz w:val="18"/>
          <w:szCs w:val="18"/>
        </w:rPr>
        <w:t>GIAMBIAGI, F. (2000</w:t>
      </w:r>
      <w:r w:rsidRPr="00566BE2">
        <w:rPr>
          <w:rFonts w:asciiTheme="minorHAnsi" w:hAnsiTheme="minorHAnsi" w:cstheme="minorHAnsi"/>
          <w:iCs/>
          <w:sz w:val="18"/>
          <w:szCs w:val="18"/>
        </w:rPr>
        <w:t xml:space="preserve">). </w:t>
      </w:r>
      <w:r w:rsidRPr="00331FE3">
        <w:rPr>
          <w:rFonts w:asciiTheme="minorHAnsi" w:hAnsiTheme="minorHAnsi" w:cstheme="minorHAnsi"/>
          <w:b/>
          <w:iCs/>
          <w:sz w:val="18"/>
          <w:szCs w:val="18"/>
        </w:rPr>
        <w:t>As muitas reformas da previdência social</w:t>
      </w:r>
      <w:r w:rsidRPr="00566BE2">
        <w:rPr>
          <w:rFonts w:asciiTheme="minorHAnsi" w:hAnsiTheme="minorHAnsi" w:cstheme="minorHAnsi"/>
          <w:sz w:val="18"/>
          <w:szCs w:val="18"/>
        </w:rPr>
        <w:t xml:space="preserve">. Rio de Janeiro: PUC, Departamento de Economia (TD n. 430). </w:t>
      </w:r>
    </w:p>
    <w:p w:rsidR="00566BE2" w:rsidRPr="00566BE2" w:rsidRDefault="00566BE2" w:rsidP="00566BE2">
      <w:pPr>
        <w:spacing w:before="120" w:after="120"/>
        <w:jc w:val="both"/>
        <w:rPr>
          <w:rFonts w:asciiTheme="minorHAnsi" w:hAnsiTheme="minorHAnsi" w:cstheme="minorHAnsi"/>
          <w:sz w:val="18"/>
          <w:szCs w:val="18"/>
        </w:rPr>
      </w:pPr>
      <w:r w:rsidRPr="00566BE2">
        <w:rPr>
          <w:rFonts w:asciiTheme="minorHAnsi" w:hAnsiTheme="minorHAnsi" w:cstheme="minorHAnsi"/>
          <w:sz w:val="18"/>
          <w:szCs w:val="18"/>
        </w:rPr>
        <w:t xml:space="preserve">MATIJASCIC, M.; KAY, S.; E RIBEIRO. J (2007). </w:t>
      </w:r>
      <w:r w:rsidRPr="00146E78">
        <w:rPr>
          <w:rFonts w:asciiTheme="minorHAnsi" w:hAnsiTheme="minorHAnsi" w:cstheme="minorHAnsi"/>
          <w:b/>
          <w:sz w:val="18"/>
          <w:szCs w:val="18"/>
        </w:rPr>
        <w:t>Aposentadorias, pensões, mercado de trabalho e condições de vida: o Brasil e os mitos da experiência internacional.</w:t>
      </w:r>
      <w:r w:rsidRPr="00566BE2">
        <w:rPr>
          <w:rFonts w:asciiTheme="minorHAnsi" w:hAnsiTheme="minorHAnsi" w:cstheme="minorHAnsi"/>
          <w:sz w:val="18"/>
          <w:szCs w:val="18"/>
        </w:rPr>
        <w:t xml:space="preserve"> In FAGNANI, E; LUCIO, C.G; HENRIQUE, W. (2007). </w:t>
      </w:r>
      <w:r w:rsidRPr="00566BE2">
        <w:rPr>
          <w:rFonts w:asciiTheme="minorHAnsi" w:hAnsiTheme="minorHAnsi" w:cstheme="minorHAnsi"/>
          <w:b/>
          <w:sz w:val="18"/>
          <w:szCs w:val="18"/>
        </w:rPr>
        <w:t>Previdência social: como incluir os excluídos? Uma agenda voltada para o desenvolvimento econômico com distribuição de renda.</w:t>
      </w:r>
      <w:r w:rsidRPr="00566BE2">
        <w:rPr>
          <w:rFonts w:asciiTheme="minorHAnsi" w:hAnsiTheme="minorHAnsi" w:cstheme="minorHAnsi"/>
          <w:sz w:val="18"/>
          <w:szCs w:val="18"/>
        </w:rPr>
        <w:t xml:space="preserve"> . São Paulo: LTR, Debates Contemporâneos – Economia Social e do Trabalho, </w:t>
      </w:r>
      <w:r w:rsidR="009D1E50" w:rsidRPr="00566BE2">
        <w:rPr>
          <w:rFonts w:asciiTheme="minorHAnsi" w:hAnsiTheme="minorHAnsi" w:cstheme="minorHAnsi"/>
          <w:sz w:val="18"/>
          <w:szCs w:val="18"/>
        </w:rPr>
        <w:t>4.</w:t>
      </w:r>
      <w:r w:rsidRPr="00566BE2">
        <w:rPr>
          <w:rFonts w:asciiTheme="minorHAnsi" w:hAnsiTheme="minorHAnsi" w:cstheme="minorHAnsi"/>
          <w:sz w:val="18"/>
          <w:szCs w:val="18"/>
        </w:rPr>
        <w:t xml:space="preserve"> </w:t>
      </w:r>
    </w:p>
    <w:p w:rsidR="00566BE2" w:rsidRDefault="00566BE2" w:rsidP="00566BE2">
      <w:pPr>
        <w:pStyle w:val="Textodenotaderodap"/>
        <w:shd w:val="clear" w:color="auto" w:fill="FFFFFF" w:themeFill="background1"/>
        <w:spacing w:before="120" w:after="120"/>
        <w:jc w:val="both"/>
        <w:rPr>
          <w:rFonts w:asciiTheme="minorHAnsi" w:hAnsiTheme="minorHAnsi" w:cstheme="minorHAnsi"/>
          <w:sz w:val="18"/>
          <w:szCs w:val="18"/>
        </w:rPr>
      </w:pPr>
      <w:r w:rsidRPr="00566BE2">
        <w:rPr>
          <w:rFonts w:asciiTheme="minorHAnsi" w:hAnsiTheme="minorHAnsi" w:cstheme="minorHAnsi"/>
          <w:sz w:val="18"/>
          <w:szCs w:val="18"/>
        </w:rPr>
        <w:t xml:space="preserve">NOBREGA, Maílson da (2005). </w:t>
      </w:r>
      <w:r w:rsidRPr="00146E78">
        <w:rPr>
          <w:rFonts w:asciiTheme="minorHAnsi" w:hAnsiTheme="minorHAnsi" w:cstheme="minorHAnsi"/>
          <w:b/>
          <w:sz w:val="18"/>
          <w:szCs w:val="18"/>
        </w:rPr>
        <w:t>O futuro chegou</w:t>
      </w:r>
      <w:r w:rsidRPr="00566BE2">
        <w:rPr>
          <w:rFonts w:asciiTheme="minorHAnsi" w:hAnsiTheme="minorHAnsi" w:cstheme="minorHAnsi"/>
          <w:sz w:val="18"/>
          <w:szCs w:val="18"/>
        </w:rPr>
        <w:t>. São Paulo: Globo.</w:t>
      </w:r>
    </w:p>
    <w:p w:rsidR="00313AD2" w:rsidRDefault="00313AD2" w:rsidP="00566BE2">
      <w:pPr>
        <w:pStyle w:val="Textodenotaderodap"/>
        <w:shd w:val="clear" w:color="auto" w:fill="FFFFFF" w:themeFill="background1"/>
        <w:spacing w:before="120" w:after="120"/>
        <w:jc w:val="both"/>
        <w:rPr>
          <w:rFonts w:asciiTheme="minorHAnsi" w:hAnsiTheme="minorHAnsi" w:cstheme="minorHAnsi"/>
          <w:sz w:val="18"/>
          <w:szCs w:val="18"/>
        </w:rPr>
      </w:pPr>
      <w:r w:rsidRPr="00313AD2">
        <w:rPr>
          <w:rFonts w:asciiTheme="minorHAnsi" w:hAnsiTheme="minorHAnsi" w:cstheme="minorHAnsi"/>
          <w:sz w:val="18"/>
          <w:szCs w:val="18"/>
        </w:rPr>
        <w:t>PESSÔA, S. (2007). PAC: o País vai crescer? Entrevista in Rio de Janeiro: Rumos, janeiro/fevereiro</w:t>
      </w:r>
      <w:r>
        <w:rPr>
          <w:rFonts w:asciiTheme="minorHAnsi" w:hAnsiTheme="minorHAnsi" w:cstheme="minorHAnsi"/>
          <w:sz w:val="18"/>
          <w:szCs w:val="18"/>
        </w:rPr>
        <w:t>.</w:t>
      </w:r>
    </w:p>
    <w:p w:rsidR="00291E7D" w:rsidRPr="00566BE2" w:rsidRDefault="00291E7D" w:rsidP="00291E7D">
      <w:pPr>
        <w:pStyle w:val="Textodenotaderodap"/>
        <w:spacing w:before="120" w:after="120"/>
        <w:jc w:val="both"/>
        <w:rPr>
          <w:rFonts w:asciiTheme="minorHAnsi" w:hAnsiTheme="minorHAnsi" w:cstheme="minorHAnsi"/>
          <w:color w:val="C00000"/>
          <w:sz w:val="18"/>
          <w:szCs w:val="18"/>
        </w:rPr>
      </w:pPr>
      <w:r w:rsidRPr="00566BE2">
        <w:rPr>
          <w:rFonts w:asciiTheme="minorHAnsi" w:hAnsiTheme="minorHAnsi" w:cstheme="minorHAnsi"/>
          <w:sz w:val="18"/>
          <w:szCs w:val="18"/>
        </w:rPr>
        <w:t>“</w:t>
      </w:r>
      <w:r w:rsidRPr="00146E78">
        <w:rPr>
          <w:rFonts w:asciiTheme="minorHAnsi" w:hAnsiTheme="minorHAnsi" w:cstheme="minorHAnsi"/>
          <w:b/>
          <w:sz w:val="18"/>
          <w:szCs w:val="18"/>
        </w:rPr>
        <w:t>PREVIDÊNCIA: REFORMAR PARA EXCLUIR?” (2017).</w:t>
      </w:r>
      <w:r w:rsidRPr="00566BE2">
        <w:rPr>
          <w:rFonts w:asciiTheme="minorHAnsi" w:hAnsiTheme="minorHAnsi" w:cstheme="minorHAnsi"/>
          <w:sz w:val="18"/>
          <w:szCs w:val="18"/>
        </w:rPr>
        <w:t xml:space="preserve"> Documento completo; ANFIP – Associação Nacional dos Auditores-Fiscais da Receita Federal do Brasil e DIEESE – Departamento Intersindical de Estatísticas e Estudos Socioeconômicos – Brasília: ANFIP: São Paulo: DIEESE: PLATAFORMA POLÍTICA SOCIAL. </w:t>
      </w:r>
      <w:r w:rsidRPr="00146E78">
        <w:rPr>
          <w:rFonts w:asciiTheme="minorHAnsi" w:hAnsiTheme="minorHAnsi" w:cstheme="minorHAnsi"/>
          <w:b/>
          <w:color w:val="C00000"/>
          <w:sz w:val="22"/>
          <w:szCs w:val="18"/>
        </w:rPr>
        <w:t>VER LINKS</w:t>
      </w:r>
    </w:p>
    <w:p w:rsidR="00566BE2" w:rsidRPr="00566BE2" w:rsidRDefault="00566BE2" w:rsidP="00566BE2">
      <w:pPr>
        <w:pStyle w:val="relc-BIBI1"/>
        <w:shd w:val="clear" w:color="auto" w:fill="FFFFFF" w:themeFill="background1"/>
        <w:spacing w:before="120" w:line="240" w:lineRule="auto"/>
        <w:ind w:left="0" w:firstLine="0"/>
        <w:rPr>
          <w:rFonts w:asciiTheme="minorHAnsi" w:hAnsiTheme="minorHAnsi" w:cstheme="minorHAnsi"/>
          <w:i w:val="0"/>
          <w:color w:val="000000"/>
          <w:sz w:val="18"/>
          <w:szCs w:val="18"/>
        </w:rPr>
      </w:pPr>
      <w:r w:rsidRPr="00566BE2">
        <w:rPr>
          <w:rFonts w:asciiTheme="minorHAnsi" w:hAnsiTheme="minorHAnsi" w:cstheme="minorHAnsi"/>
          <w:i w:val="0"/>
          <w:color w:val="000000"/>
          <w:sz w:val="18"/>
          <w:szCs w:val="18"/>
        </w:rPr>
        <w:t xml:space="preserve">TEIXEIRA, A. (1991). </w:t>
      </w:r>
      <w:r w:rsidRPr="00146E78">
        <w:rPr>
          <w:rFonts w:asciiTheme="minorHAnsi" w:hAnsiTheme="minorHAnsi" w:cstheme="minorHAnsi"/>
          <w:b/>
          <w:i w:val="0"/>
          <w:iCs/>
          <w:color w:val="000000"/>
          <w:sz w:val="18"/>
          <w:szCs w:val="18"/>
        </w:rPr>
        <w:t>Do seguro à seguridade</w:t>
      </w:r>
      <w:r w:rsidRPr="00146E78">
        <w:rPr>
          <w:rFonts w:asciiTheme="minorHAnsi" w:hAnsiTheme="minorHAnsi" w:cstheme="minorHAnsi"/>
          <w:b/>
          <w:i w:val="0"/>
          <w:color w:val="000000"/>
          <w:sz w:val="18"/>
          <w:szCs w:val="18"/>
        </w:rPr>
        <w:t>: a metamorfose inconclusa do sistema previdenciário brasileiro</w:t>
      </w:r>
      <w:r w:rsidRPr="00566BE2">
        <w:rPr>
          <w:rFonts w:asciiTheme="minorHAnsi" w:hAnsiTheme="minorHAnsi" w:cstheme="minorHAnsi"/>
          <w:i w:val="0"/>
          <w:color w:val="000000"/>
          <w:sz w:val="18"/>
          <w:szCs w:val="18"/>
        </w:rPr>
        <w:t xml:space="preserve">. Rio de Janeiro: UFRJ-IEI (TD n. 249). </w:t>
      </w:r>
    </w:p>
    <w:p w:rsidR="00566BE2" w:rsidRDefault="00566BE2" w:rsidP="00566BE2">
      <w:pPr>
        <w:shd w:val="clear" w:color="auto" w:fill="FFFFFF" w:themeFill="background1"/>
        <w:spacing w:before="120" w:after="120"/>
        <w:jc w:val="both"/>
        <w:rPr>
          <w:rFonts w:asciiTheme="minorHAnsi" w:eastAsia="Arial Unicode MS" w:hAnsiTheme="minorHAnsi" w:cstheme="minorHAnsi"/>
          <w:color w:val="000000"/>
          <w:sz w:val="18"/>
          <w:szCs w:val="18"/>
        </w:rPr>
      </w:pPr>
      <w:r w:rsidRPr="00566BE2">
        <w:rPr>
          <w:rFonts w:asciiTheme="minorHAnsi" w:eastAsia="Arial Unicode MS" w:hAnsiTheme="minorHAnsi" w:cstheme="minorHAnsi"/>
          <w:color w:val="000000"/>
          <w:sz w:val="18"/>
          <w:szCs w:val="18"/>
        </w:rPr>
        <w:t xml:space="preserve">TEIXEIRA, A. e outros (1989). </w:t>
      </w:r>
      <w:r w:rsidRPr="00146E78">
        <w:rPr>
          <w:rFonts w:asciiTheme="minorHAnsi" w:eastAsia="Arial Unicode MS" w:hAnsiTheme="minorHAnsi" w:cstheme="minorHAnsi"/>
          <w:b/>
          <w:color w:val="000000"/>
          <w:sz w:val="18"/>
          <w:szCs w:val="18"/>
        </w:rPr>
        <w:t>O financiamento da seguridade social em 1989: novos caminhos, velhos problemas</w:t>
      </w:r>
      <w:r w:rsidRPr="00566BE2">
        <w:rPr>
          <w:rFonts w:asciiTheme="minorHAnsi" w:eastAsia="Arial Unicode MS" w:hAnsiTheme="minorHAnsi" w:cstheme="minorHAnsi"/>
          <w:color w:val="000000"/>
          <w:sz w:val="18"/>
          <w:szCs w:val="18"/>
        </w:rPr>
        <w:t>. Rio de Janeiro: UFRJ-IEI (TD n. 196).</w:t>
      </w:r>
    </w:p>
    <w:p w:rsidR="005136D9" w:rsidRPr="00566BE2" w:rsidRDefault="005136D9" w:rsidP="00566BE2">
      <w:pPr>
        <w:shd w:val="clear" w:color="auto" w:fill="FFFFFF" w:themeFill="background1"/>
        <w:spacing w:before="120" w:after="120"/>
        <w:jc w:val="both"/>
        <w:rPr>
          <w:rFonts w:asciiTheme="minorHAnsi" w:hAnsiTheme="minorHAnsi" w:cstheme="minorHAnsi"/>
          <w:b/>
          <w:bCs/>
          <w:color w:val="000000"/>
          <w:sz w:val="18"/>
          <w:szCs w:val="18"/>
        </w:rPr>
      </w:pPr>
    </w:p>
    <w:sectPr w:rsidR="005136D9" w:rsidRPr="00566BE2" w:rsidSect="001E0B50">
      <w:head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6D6" w:rsidRDefault="000576D6" w:rsidP="001E0B50">
      <w:r>
        <w:separator/>
      </w:r>
    </w:p>
  </w:endnote>
  <w:endnote w:type="continuationSeparator" w:id="0">
    <w:p w:rsidR="000576D6" w:rsidRDefault="000576D6" w:rsidP="001E0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Arial, Trebuchet MS">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roid Sans">
    <w:altName w:val="Times New Roman"/>
    <w:charset w:val="00"/>
    <w:family w:val="auto"/>
    <w:pitch w:val="variable"/>
  </w:font>
  <w:font w:name="Helvetica Neue">
    <w:altName w:val="Malgun Gothic"/>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ont341">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6D6" w:rsidRDefault="000576D6" w:rsidP="001E0B50">
      <w:r>
        <w:separator/>
      </w:r>
    </w:p>
  </w:footnote>
  <w:footnote w:type="continuationSeparator" w:id="0">
    <w:p w:rsidR="000576D6" w:rsidRDefault="000576D6" w:rsidP="001E0B50">
      <w:r>
        <w:continuationSeparator/>
      </w:r>
    </w:p>
  </w:footnote>
  <w:footnote w:id="1">
    <w:p w:rsidR="00D07A75" w:rsidRPr="00D52AEF" w:rsidRDefault="00D07A75" w:rsidP="00D52AEF">
      <w:pPr>
        <w:pStyle w:val="Textodenotaderodap"/>
        <w:spacing w:before="120" w:after="120"/>
        <w:jc w:val="both"/>
        <w:rPr>
          <w:rFonts w:ascii="Georgia" w:hAnsi="Georgia"/>
          <w:sz w:val="18"/>
          <w:szCs w:val="18"/>
        </w:rPr>
      </w:pPr>
      <w:r w:rsidRPr="00D52AEF">
        <w:rPr>
          <w:rStyle w:val="Refdenotaderodap"/>
          <w:rFonts w:ascii="Georgia" w:hAnsi="Georgia" w:cs="Arial"/>
          <w:sz w:val="18"/>
          <w:szCs w:val="18"/>
        </w:rPr>
        <w:footnoteRef/>
      </w:r>
      <w:r w:rsidRPr="00D52AEF">
        <w:rPr>
          <w:rFonts w:ascii="Georgia" w:hAnsi="Georgia" w:cs="Arial"/>
          <w:sz w:val="18"/>
          <w:szCs w:val="18"/>
        </w:rPr>
        <w:t xml:space="preserve"> </w:t>
      </w:r>
      <w:r>
        <w:rPr>
          <w:rFonts w:ascii="Georgia" w:hAnsi="Georgia" w:cs="Arial"/>
          <w:sz w:val="18"/>
          <w:szCs w:val="18"/>
        </w:rPr>
        <w:t xml:space="preserve"> </w:t>
      </w:r>
      <w:r w:rsidRPr="00D52AEF">
        <w:rPr>
          <w:rFonts w:ascii="Georgia" w:hAnsi="Georgia" w:cs="Arial"/>
          <w:sz w:val="18"/>
          <w:szCs w:val="18"/>
        </w:rPr>
        <w:t>Professor do Instituto de Economia da Unicamp.</w:t>
      </w:r>
    </w:p>
  </w:footnote>
  <w:footnote w:id="2">
    <w:p w:rsidR="00FD76DE" w:rsidRDefault="00FD76DE">
      <w:pPr>
        <w:pStyle w:val="Textodenotaderodap"/>
      </w:pPr>
      <w:r>
        <w:rPr>
          <w:rStyle w:val="Refdenotaderodap"/>
        </w:rPr>
        <w:footnoteRef/>
      </w:r>
      <w:r>
        <w:t xml:space="preserve"> </w:t>
      </w:r>
      <w:hyperlink r:id="rId1" w:history="1">
        <w:r w:rsidRPr="004B10A6">
          <w:rPr>
            <w:rStyle w:val="Hyperlink"/>
          </w:rPr>
          <w:t>http://s.oab.org.br/arquivos/2017/02/carta-aberta-sobre-a-reforma-da-previdencia-5.PDF</w:t>
        </w:r>
      </w:hyperlink>
    </w:p>
    <w:p w:rsidR="00FD76DE" w:rsidRDefault="00FD76DE">
      <w:pPr>
        <w:pStyle w:val="Textodenotaderodap"/>
      </w:pPr>
    </w:p>
  </w:footnote>
  <w:footnote w:id="3">
    <w:p w:rsidR="005C582C" w:rsidRPr="00D52AEF" w:rsidRDefault="005C582C" w:rsidP="005C582C">
      <w:pPr>
        <w:pStyle w:val="Textodenotaderodap"/>
        <w:spacing w:before="120" w:after="120"/>
        <w:jc w:val="both"/>
        <w:rPr>
          <w:rFonts w:ascii="Georgia" w:hAnsi="Georgia"/>
          <w:b/>
          <w:color w:val="365F91" w:themeColor="accent1" w:themeShade="BF"/>
          <w:sz w:val="18"/>
          <w:szCs w:val="18"/>
        </w:rPr>
      </w:pPr>
      <w:r w:rsidRPr="00D52AEF">
        <w:rPr>
          <w:rStyle w:val="Refdenotaderodap"/>
          <w:rFonts w:ascii="Georgia" w:hAnsi="Georgia"/>
          <w:sz w:val="18"/>
          <w:szCs w:val="18"/>
        </w:rPr>
        <w:footnoteRef/>
      </w:r>
      <w:r>
        <w:rPr>
          <w:rFonts w:ascii="Georgia" w:hAnsi="Georgia"/>
          <w:sz w:val="18"/>
          <w:szCs w:val="18"/>
        </w:rPr>
        <w:t xml:space="preserve"> </w:t>
      </w:r>
      <w:r w:rsidRPr="00D52AEF">
        <w:rPr>
          <w:rFonts w:ascii="Georgia" w:hAnsi="Georgia"/>
          <w:sz w:val="18"/>
          <w:szCs w:val="18"/>
        </w:rPr>
        <w:t>Este tópico baseia-se no</w:t>
      </w:r>
      <w:r>
        <w:rPr>
          <w:rFonts w:ascii="Georgia" w:hAnsi="Georgia"/>
          <w:sz w:val="18"/>
          <w:szCs w:val="18"/>
        </w:rPr>
        <w:t xml:space="preserve">s seguintes </w:t>
      </w:r>
      <w:r w:rsidRPr="00D52AEF">
        <w:rPr>
          <w:rFonts w:ascii="Georgia" w:hAnsi="Georgia"/>
          <w:sz w:val="18"/>
          <w:szCs w:val="18"/>
        </w:rPr>
        <w:t>documento</w:t>
      </w:r>
      <w:r>
        <w:rPr>
          <w:rFonts w:ascii="Georgia" w:hAnsi="Georgia"/>
          <w:sz w:val="18"/>
          <w:szCs w:val="18"/>
        </w:rPr>
        <w:t xml:space="preserve">s: </w:t>
      </w:r>
      <w:r w:rsidRPr="00FD76DE">
        <w:rPr>
          <w:rFonts w:ascii="Georgia" w:hAnsi="Georgia"/>
          <w:sz w:val="18"/>
          <w:szCs w:val="18"/>
        </w:rPr>
        <w:t xml:space="preserve">esses dois documentos </w:t>
      </w:r>
      <w:hyperlink r:id="rId2" w:history="1">
        <w:r w:rsidRPr="004B10A6">
          <w:rPr>
            <w:rStyle w:val="Hyperlink"/>
            <w:rFonts w:ascii="Georgia" w:hAnsi="Georgia"/>
            <w:sz w:val="18"/>
            <w:szCs w:val="18"/>
          </w:rPr>
          <w:t>http://plataformapoliticasocial.com.br/previdencia-reformar-para-excluir-completo/</w:t>
        </w:r>
      </w:hyperlink>
      <w:r>
        <w:rPr>
          <w:rFonts w:ascii="Georgia" w:hAnsi="Georgia"/>
          <w:sz w:val="18"/>
          <w:szCs w:val="18"/>
        </w:rPr>
        <w:t xml:space="preserve"> </w:t>
      </w:r>
      <w:hyperlink r:id="rId3" w:history="1">
        <w:r w:rsidRPr="004B10A6">
          <w:rPr>
            <w:rStyle w:val="Hyperlink"/>
            <w:rFonts w:ascii="Georgia" w:hAnsi="Georgia"/>
            <w:sz w:val="18"/>
            <w:szCs w:val="18"/>
          </w:rPr>
          <w:t>http://plataformapoliticasocial.com.br/previdencia-social-como-acreditar-nas-previsoes-do-governo-para-2060/</w:t>
        </w:r>
      </w:hyperlink>
    </w:p>
  </w:footnote>
  <w:footnote w:id="4">
    <w:p w:rsidR="00D07A75" w:rsidRPr="00D52AEF" w:rsidRDefault="00D07A75" w:rsidP="00D52AEF">
      <w:pPr>
        <w:tabs>
          <w:tab w:val="left" w:pos="2835"/>
          <w:tab w:val="left" w:pos="6379"/>
        </w:tabs>
        <w:spacing w:before="120" w:after="120"/>
        <w:jc w:val="both"/>
        <w:rPr>
          <w:rFonts w:ascii="Georgia" w:hAnsi="Georgia"/>
          <w:sz w:val="18"/>
          <w:szCs w:val="18"/>
        </w:rPr>
      </w:pPr>
      <w:r w:rsidRPr="00D52AEF">
        <w:rPr>
          <w:rStyle w:val="Refdenotaderodap"/>
          <w:rFonts w:ascii="Georgia" w:hAnsi="Georgia" w:cs="Arial"/>
          <w:sz w:val="18"/>
          <w:szCs w:val="18"/>
        </w:rPr>
        <w:footnoteRef/>
      </w:r>
      <w:r w:rsidRPr="00D52AEF">
        <w:rPr>
          <w:rFonts w:ascii="Georgia" w:hAnsi="Georgia" w:cs="Arial"/>
          <w:sz w:val="18"/>
          <w:szCs w:val="18"/>
        </w:rPr>
        <w:t xml:space="preserve"> Baseado em Fagnani (2007).</w:t>
      </w:r>
    </w:p>
  </w:footnote>
  <w:footnote w:id="5">
    <w:p w:rsidR="00D07A75" w:rsidRPr="00D52AEF" w:rsidRDefault="00D07A75" w:rsidP="00D52AEF">
      <w:pPr>
        <w:pStyle w:val="Textodenotaderodap"/>
        <w:spacing w:before="120" w:after="120"/>
        <w:jc w:val="both"/>
        <w:rPr>
          <w:rFonts w:ascii="Georgia" w:hAnsi="Georgia"/>
          <w:sz w:val="18"/>
          <w:szCs w:val="18"/>
        </w:rPr>
      </w:pPr>
      <w:r w:rsidRPr="00D52AEF">
        <w:rPr>
          <w:rStyle w:val="Refdenotaderodap"/>
          <w:rFonts w:ascii="Georgia" w:hAnsi="Georgia"/>
          <w:sz w:val="18"/>
          <w:szCs w:val="18"/>
        </w:rPr>
        <w:footnoteRef/>
      </w:r>
      <w:r w:rsidRPr="00D52AEF">
        <w:rPr>
          <w:rFonts w:ascii="Georgia" w:hAnsi="Georgia"/>
          <w:sz w:val="18"/>
          <w:szCs w:val="18"/>
        </w:rPr>
        <w:t xml:space="preserve"> Sarney vai à TV criticar o projeto. Gazeta Mercantil. 27/7/1988.</w:t>
      </w:r>
    </w:p>
  </w:footnote>
  <w:footnote w:id="6">
    <w:p w:rsidR="00D07A75" w:rsidRPr="00D52AEF" w:rsidRDefault="00D07A75" w:rsidP="00D52AEF">
      <w:pPr>
        <w:pStyle w:val="Textodenotaderodap"/>
        <w:spacing w:before="120" w:after="120"/>
        <w:jc w:val="both"/>
        <w:rPr>
          <w:rFonts w:ascii="Georgia" w:hAnsi="Georgia"/>
          <w:sz w:val="18"/>
          <w:szCs w:val="18"/>
        </w:rPr>
      </w:pPr>
      <w:r w:rsidRPr="00D52AEF">
        <w:rPr>
          <w:rStyle w:val="Refdenotaderodap"/>
          <w:rFonts w:ascii="Georgia" w:hAnsi="Georgia"/>
          <w:sz w:val="18"/>
          <w:szCs w:val="18"/>
        </w:rPr>
        <w:footnoteRef/>
      </w:r>
      <w:r w:rsidRPr="00D52AEF">
        <w:rPr>
          <w:rFonts w:ascii="Georgia" w:hAnsi="Georgia"/>
          <w:sz w:val="18"/>
          <w:szCs w:val="18"/>
        </w:rPr>
        <w:t xml:space="preserve"> Senador condena a mudança do IAPAS. O Estado de São Paulo, 14/1/1989.</w:t>
      </w:r>
    </w:p>
  </w:footnote>
  <w:footnote w:id="7">
    <w:p w:rsidR="00D07A75" w:rsidRPr="00D52AEF" w:rsidRDefault="00D07A75" w:rsidP="00D52AEF">
      <w:pPr>
        <w:pStyle w:val="Textodenotaderodap"/>
        <w:spacing w:before="120" w:after="120"/>
        <w:jc w:val="both"/>
        <w:rPr>
          <w:rFonts w:ascii="Georgia" w:hAnsi="Georgia"/>
          <w:sz w:val="18"/>
          <w:szCs w:val="18"/>
        </w:rPr>
      </w:pPr>
      <w:r w:rsidRPr="00D52AEF">
        <w:rPr>
          <w:rStyle w:val="Refdenotaderodap"/>
          <w:rFonts w:ascii="Georgia" w:hAnsi="Georgia"/>
          <w:sz w:val="18"/>
          <w:szCs w:val="18"/>
        </w:rPr>
        <w:footnoteRef/>
      </w:r>
      <w:r w:rsidRPr="00D52AEF">
        <w:rPr>
          <w:rFonts w:ascii="Georgia" w:hAnsi="Georgia"/>
          <w:sz w:val="18"/>
          <w:szCs w:val="18"/>
        </w:rPr>
        <w:t xml:space="preserve"> Governo aumentará contribuições para sanear previdência. Folha de S.Paulo, 17/5/1989.</w:t>
      </w:r>
    </w:p>
  </w:footnote>
  <w:footnote w:id="8">
    <w:p w:rsidR="00D07A75" w:rsidRPr="00D52AEF" w:rsidRDefault="00D07A75" w:rsidP="00D52AEF">
      <w:pPr>
        <w:pStyle w:val="Textodenotaderodap"/>
        <w:spacing w:before="120" w:after="120"/>
        <w:jc w:val="both"/>
        <w:rPr>
          <w:rFonts w:ascii="Georgia" w:hAnsi="Georgia"/>
          <w:sz w:val="18"/>
          <w:szCs w:val="18"/>
        </w:rPr>
      </w:pPr>
      <w:r w:rsidRPr="00D52AEF">
        <w:rPr>
          <w:rStyle w:val="Refdenotaderodap"/>
          <w:rFonts w:ascii="Georgia" w:hAnsi="Georgia"/>
          <w:sz w:val="18"/>
          <w:szCs w:val="18"/>
        </w:rPr>
        <w:footnoteRef/>
      </w:r>
      <w:r w:rsidRPr="00D52AEF">
        <w:rPr>
          <w:rFonts w:ascii="Georgia" w:hAnsi="Georgia"/>
          <w:sz w:val="18"/>
          <w:szCs w:val="18"/>
        </w:rPr>
        <w:t xml:space="preserve"> Um rombo federal. Entrevista com Jáder Barbalho. Veja, 31/5/1989.</w:t>
      </w:r>
    </w:p>
  </w:footnote>
  <w:footnote w:id="9">
    <w:p w:rsidR="00D07A75" w:rsidRPr="00D52AEF" w:rsidRDefault="00D07A75" w:rsidP="00D52AEF">
      <w:pPr>
        <w:pStyle w:val="Textodenotaderodap"/>
        <w:spacing w:before="120" w:after="120"/>
        <w:jc w:val="both"/>
        <w:rPr>
          <w:rFonts w:ascii="Georgia" w:hAnsi="Georgia"/>
          <w:sz w:val="18"/>
          <w:szCs w:val="18"/>
        </w:rPr>
      </w:pPr>
      <w:r w:rsidRPr="00D52AEF">
        <w:rPr>
          <w:rStyle w:val="Refdenotaderodap"/>
          <w:rFonts w:ascii="Georgia" w:hAnsi="Georgia"/>
          <w:sz w:val="18"/>
          <w:szCs w:val="18"/>
        </w:rPr>
        <w:footnoteRef/>
      </w:r>
      <w:r w:rsidRPr="00D52AEF">
        <w:rPr>
          <w:rFonts w:ascii="Georgia" w:hAnsi="Georgia"/>
          <w:sz w:val="18"/>
          <w:szCs w:val="18"/>
        </w:rPr>
        <w:t xml:space="preserve"> Idem.</w:t>
      </w:r>
    </w:p>
  </w:footnote>
  <w:footnote w:id="10">
    <w:p w:rsidR="00D07A75" w:rsidRPr="00D52AEF" w:rsidRDefault="00D07A75" w:rsidP="00D52AEF">
      <w:pPr>
        <w:spacing w:before="120" w:after="120"/>
        <w:jc w:val="both"/>
        <w:rPr>
          <w:rFonts w:ascii="Georgia" w:hAnsi="Georgia"/>
          <w:sz w:val="18"/>
          <w:szCs w:val="18"/>
        </w:rPr>
      </w:pPr>
      <w:r w:rsidRPr="00D52AEF">
        <w:rPr>
          <w:rStyle w:val="Refdenotaderodap"/>
          <w:rFonts w:ascii="Georgia" w:hAnsi="Georgia" w:cs="Arial"/>
          <w:sz w:val="18"/>
          <w:szCs w:val="18"/>
        </w:rPr>
        <w:footnoteRef/>
      </w:r>
      <w:r w:rsidRPr="00D52AEF">
        <w:rPr>
          <w:rFonts w:ascii="Georgia" w:hAnsi="Georgia" w:cs="Arial"/>
          <w:sz w:val="18"/>
          <w:szCs w:val="18"/>
        </w:rPr>
        <w:t xml:space="preserve"> Lei n. 8.213/91. </w:t>
      </w:r>
    </w:p>
  </w:footnote>
  <w:footnote w:id="11">
    <w:p w:rsidR="00D07A75" w:rsidRPr="00D52AEF" w:rsidRDefault="00D07A75" w:rsidP="00D52AEF">
      <w:pPr>
        <w:pStyle w:val="Textodenotaderodap"/>
        <w:spacing w:before="120" w:after="120"/>
        <w:jc w:val="both"/>
        <w:rPr>
          <w:rFonts w:ascii="Georgia" w:hAnsi="Georgia"/>
          <w:sz w:val="18"/>
          <w:szCs w:val="18"/>
        </w:rPr>
      </w:pPr>
      <w:r w:rsidRPr="00D52AEF">
        <w:rPr>
          <w:rStyle w:val="Refdenotaderodap"/>
          <w:rFonts w:ascii="Georgia" w:hAnsi="Georgia"/>
          <w:sz w:val="18"/>
          <w:szCs w:val="18"/>
        </w:rPr>
        <w:footnoteRef/>
      </w:r>
      <w:r w:rsidRPr="00D52AEF">
        <w:rPr>
          <w:rFonts w:ascii="Georgia" w:hAnsi="Georgia"/>
          <w:sz w:val="18"/>
          <w:szCs w:val="18"/>
        </w:rPr>
        <w:t xml:space="preserve"> Folha de São Paulo, 2/9/ 2005.</w:t>
      </w:r>
    </w:p>
  </w:footnote>
  <w:footnote w:id="12">
    <w:p w:rsidR="00D07A75" w:rsidRPr="00D52AEF" w:rsidRDefault="00D07A75" w:rsidP="00D52AEF">
      <w:pPr>
        <w:pStyle w:val="Textodenotaderodap"/>
        <w:spacing w:before="120" w:after="120"/>
        <w:jc w:val="both"/>
        <w:rPr>
          <w:rFonts w:ascii="Georgia" w:hAnsi="Georgia"/>
          <w:sz w:val="18"/>
          <w:szCs w:val="18"/>
        </w:rPr>
      </w:pPr>
      <w:r w:rsidRPr="00D52AEF">
        <w:rPr>
          <w:rStyle w:val="Refdenotaderodap"/>
          <w:rFonts w:ascii="Georgia" w:hAnsi="Georgia"/>
          <w:sz w:val="18"/>
          <w:szCs w:val="18"/>
        </w:rPr>
        <w:footnoteRef/>
      </w:r>
      <w:r w:rsidRPr="00D52AEF">
        <w:rPr>
          <w:rFonts w:ascii="Georgia" w:hAnsi="Georgia"/>
          <w:sz w:val="18"/>
          <w:szCs w:val="18"/>
        </w:rPr>
        <w:t xml:space="preserve"> Fabio Giambiagi, Valor, 18/10/2005.</w:t>
      </w:r>
    </w:p>
  </w:footnote>
  <w:footnote w:id="13">
    <w:p w:rsidR="00D07A75" w:rsidRPr="00D52AEF" w:rsidRDefault="00D07A75" w:rsidP="00D52AEF">
      <w:pPr>
        <w:pStyle w:val="Textodenotaderodap"/>
        <w:spacing w:before="120" w:after="120"/>
        <w:jc w:val="both"/>
        <w:rPr>
          <w:rFonts w:ascii="Georgia" w:hAnsi="Georgia"/>
          <w:sz w:val="18"/>
          <w:szCs w:val="18"/>
        </w:rPr>
      </w:pPr>
      <w:r w:rsidRPr="00D52AEF">
        <w:rPr>
          <w:rStyle w:val="Refdenotaderodap"/>
          <w:rFonts w:ascii="Georgia" w:hAnsi="Georgia"/>
          <w:sz w:val="18"/>
          <w:szCs w:val="18"/>
        </w:rPr>
        <w:footnoteRef/>
      </w:r>
      <w:r w:rsidRPr="00D52AEF">
        <w:rPr>
          <w:rFonts w:ascii="Georgia" w:hAnsi="Georgia"/>
          <w:sz w:val="18"/>
          <w:szCs w:val="18"/>
        </w:rPr>
        <w:t xml:space="preserve"> </w:t>
      </w:r>
      <w:hyperlink r:id="rId4" w:history="1">
        <w:r w:rsidRPr="00D52AEF">
          <w:rPr>
            <w:rStyle w:val="Hyperlink"/>
            <w:rFonts w:ascii="Georgia" w:hAnsi="Georgia"/>
            <w:sz w:val="18"/>
            <w:szCs w:val="18"/>
          </w:rPr>
          <w:t>http://blogs.estadao.com.br/a-economia-no-novo-governo/?p=63</w:t>
        </w:r>
      </w:hyperlink>
    </w:p>
    <w:p w:rsidR="00D07A75" w:rsidRPr="00D52AEF" w:rsidRDefault="00D07A75" w:rsidP="00D52AEF">
      <w:pPr>
        <w:pStyle w:val="Textodenotaderodap"/>
        <w:spacing w:before="120" w:after="120"/>
        <w:jc w:val="both"/>
        <w:rPr>
          <w:rFonts w:ascii="Georgia" w:hAnsi="Georgia"/>
          <w:sz w:val="18"/>
          <w:szCs w:val="18"/>
        </w:rPr>
      </w:pPr>
    </w:p>
    <w:p w:rsidR="00D07A75" w:rsidRPr="00D52AEF" w:rsidRDefault="00D07A75" w:rsidP="00D52AEF">
      <w:pPr>
        <w:pStyle w:val="Textodenotaderodap"/>
        <w:spacing w:before="120" w:after="120"/>
        <w:jc w:val="both"/>
        <w:rPr>
          <w:rFonts w:ascii="Georgia" w:hAnsi="Georgia"/>
          <w:sz w:val="18"/>
          <w:szCs w:val="18"/>
        </w:rPr>
      </w:pPr>
    </w:p>
    <w:p w:rsidR="00D07A75" w:rsidRPr="00D52AEF" w:rsidRDefault="00D07A75" w:rsidP="00D52AEF">
      <w:pPr>
        <w:pStyle w:val="Textodenotaderodap"/>
        <w:spacing w:before="120" w:after="120"/>
        <w:jc w:val="both"/>
        <w:rPr>
          <w:rFonts w:ascii="Georgia" w:hAnsi="Georgia"/>
          <w:sz w:val="18"/>
          <w:szCs w:val="18"/>
        </w:rPr>
      </w:pPr>
    </w:p>
  </w:footnote>
  <w:footnote w:id="14">
    <w:p w:rsidR="00D07A75" w:rsidRPr="00D52AEF" w:rsidRDefault="00D07A75" w:rsidP="00D52AEF">
      <w:pPr>
        <w:pStyle w:val="Textodenotaderodap"/>
        <w:spacing w:before="120" w:after="120"/>
        <w:jc w:val="both"/>
        <w:rPr>
          <w:rFonts w:ascii="Georgia" w:hAnsi="Georgia"/>
          <w:sz w:val="18"/>
          <w:szCs w:val="18"/>
        </w:rPr>
      </w:pPr>
      <w:r w:rsidRPr="00D52AEF">
        <w:rPr>
          <w:rStyle w:val="Refdenotaderodap"/>
          <w:rFonts w:ascii="Georgia" w:hAnsi="Georgia"/>
          <w:sz w:val="18"/>
          <w:szCs w:val="18"/>
        </w:rPr>
        <w:footnoteRef/>
      </w:r>
      <w:r w:rsidRPr="00D52AEF">
        <w:rPr>
          <w:rFonts w:ascii="Georgia" w:hAnsi="Georgia"/>
          <w:sz w:val="18"/>
          <w:szCs w:val="18"/>
        </w:rPr>
        <w:t xml:space="preserve"> </w:t>
      </w:r>
      <w:hyperlink r:id="rId5" w:history="1">
        <w:r w:rsidRPr="00D52AEF">
          <w:rPr>
            <w:rStyle w:val="Hyperlink"/>
            <w:rFonts w:ascii="Georgia" w:hAnsi="Georgia"/>
            <w:sz w:val="18"/>
            <w:szCs w:val="18"/>
          </w:rPr>
          <w:t>http://www1.folha.uol.com.br/fsp/ilustrissima/226576-ajuste-inevitavel.shtml</w:t>
        </w:r>
      </w:hyperlink>
    </w:p>
  </w:footnote>
  <w:footnote w:id="15">
    <w:p w:rsidR="00D07A75" w:rsidRPr="00D52AEF" w:rsidRDefault="00D07A75" w:rsidP="00D52AEF">
      <w:pPr>
        <w:pStyle w:val="Textodenotaderodap"/>
        <w:spacing w:before="120" w:after="120"/>
        <w:jc w:val="both"/>
        <w:rPr>
          <w:rFonts w:ascii="Georgia" w:hAnsi="Georgia"/>
          <w:sz w:val="18"/>
          <w:szCs w:val="18"/>
        </w:rPr>
      </w:pPr>
      <w:r w:rsidRPr="00D52AEF">
        <w:rPr>
          <w:rStyle w:val="Refdenotaderodap"/>
          <w:rFonts w:ascii="Georgia" w:hAnsi="Georgia"/>
          <w:sz w:val="18"/>
          <w:szCs w:val="18"/>
        </w:rPr>
        <w:footnoteRef/>
      </w:r>
      <w:r w:rsidRPr="00D52AEF">
        <w:rPr>
          <w:rFonts w:ascii="Georgia" w:hAnsi="Georgia"/>
          <w:sz w:val="18"/>
          <w:szCs w:val="18"/>
        </w:rPr>
        <w:t xml:space="preserve"> </w:t>
      </w:r>
      <w:hyperlink r:id="rId6" w:history="1">
        <w:r w:rsidRPr="00D52AEF">
          <w:rPr>
            <w:rStyle w:val="Hyperlink"/>
            <w:rFonts w:ascii="Georgia" w:hAnsi="Georgia" w:cstheme="minorHAnsi"/>
            <w:sz w:val="18"/>
            <w:szCs w:val="18"/>
          </w:rPr>
          <w:t>http://www.valor.com.br/arquivo/893219/duas-rotas-que-levam-reducao-da-taxa-de-juros</w:t>
        </w:r>
      </w:hyperlink>
    </w:p>
  </w:footnote>
  <w:footnote w:id="16">
    <w:p w:rsidR="00D07A75" w:rsidRPr="00D52AEF" w:rsidRDefault="00D07A75" w:rsidP="00D52AEF">
      <w:pPr>
        <w:pStyle w:val="Textodenotaderodap"/>
        <w:spacing w:before="120" w:after="120"/>
        <w:jc w:val="both"/>
        <w:rPr>
          <w:rFonts w:ascii="Georgia" w:hAnsi="Georgia"/>
          <w:sz w:val="18"/>
          <w:szCs w:val="18"/>
        </w:rPr>
      </w:pPr>
      <w:r w:rsidRPr="00D52AEF">
        <w:rPr>
          <w:rStyle w:val="Refdenotaderodap"/>
          <w:rFonts w:ascii="Georgia" w:hAnsi="Georgia"/>
          <w:sz w:val="18"/>
          <w:szCs w:val="18"/>
        </w:rPr>
        <w:footnoteRef/>
      </w:r>
      <w:r w:rsidRPr="00D52AEF">
        <w:rPr>
          <w:rFonts w:ascii="Georgia" w:hAnsi="Georgia"/>
          <w:sz w:val="18"/>
          <w:szCs w:val="18"/>
        </w:rPr>
        <w:t xml:space="preserve"> Parágrafo único, VII, do artigo 194.</w:t>
      </w:r>
    </w:p>
  </w:footnote>
  <w:footnote w:id="17">
    <w:p w:rsidR="005C582C" w:rsidRPr="00D52AEF" w:rsidRDefault="005C582C" w:rsidP="005C582C">
      <w:pPr>
        <w:pStyle w:val="Textodenotaderodap"/>
        <w:spacing w:before="120" w:after="120"/>
        <w:jc w:val="both"/>
        <w:rPr>
          <w:rFonts w:ascii="Georgia" w:hAnsi="Georgia"/>
          <w:b/>
          <w:color w:val="365F91" w:themeColor="accent1" w:themeShade="BF"/>
          <w:sz w:val="18"/>
          <w:szCs w:val="18"/>
        </w:rPr>
      </w:pPr>
      <w:r w:rsidRPr="00D52AEF">
        <w:rPr>
          <w:rStyle w:val="Refdenotaderodap"/>
          <w:rFonts w:ascii="Georgia" w:hAnsi="Georgia"/>
          <w:sz w:val="18"/>
          <w:szCs w:val="18"/>
        </w:rPr>
        <w:footnoteRef/>
      </w:r>
      <w:r>
        <w:rPr>
          <w:rFonts w:ascii="Georgia" w:hAnsi="Georgia"/>
          <w:sz w:val="18"/>
          <w:szCs w:val="18"/>
        </w:rPr>
        <w:t xml:space="preserve"> </w:t>
      </w:r>
      <w:r w:rsidRPr="00D52AEF">
        <w:rPr>
          <w:rFonts w:ascii="Georgia" w:hAnsi="Georgia"/>
          <w:sz w:val="18"/>
          <w:szCs w:val="18"/>
        </w:rPr>
        <w:t>Este tópico baseia-se no</w:t>
      </w:r>
      <w:r>
        <w:rPr>
          <w:rFonts w:ascii="Georgia" w:hAnsi="Georgia"/>
          <w:sz w:val="18"/>
          <w:szCs w:val="18"/>
        </w:rPr>
        <w:t xml:space="preserve">s seguintes </w:t>
      </w:r>
      <w:r w:rsidRPr="00D52AEF">
        <w:rPr>
          <w:rFonts w:ascii="Georgia" w:hAnsi="Georgia"/>
          <w:sz w:val="18"/>
          <w:szCs w:val="18"/>
        </w:rPr>
        <w:t>documento</w:t>
      </w:r>
      <w:r>
        <w:rPr>
          <w:rFonts w:ascii="Georgia" w:hAnsi="Georgia"/>
          <w:sz w:val="18"/>
          <w:szCs w:val="18"/>
        </w:rPr>
        <w:t xml:space="preserve">s: </w:t>
      </w:r>
      <w:r w:rsidRPr="00FD76DE">
        <w:rPr>
          <w:rFonts w:ascii="Georgia" w:hAnsi="Georgia"/>
          <w:sz w:val="18"/>
          <w:szCs w:val="18"/>
        </w:rPr>
        <w:t xml:space="preserve">esses dois documentos </w:t>
      </w:r>
      <w:hyperlink r:id="rId7" w:history="1">
        <w:r w:rsidRPr="004B10A6">
          <w:rPr>
            <w:rStyle w:val="Hyperlink"/>
            <w:rFonts w:ascii="Georgia" w:hAnsi="Georgia"/>
            <w:sz w:val="18"/>
            <w:szCs w:val="18"/>
          </w:rPr>
          <w:t>http://plataformapoliticasocial.com.br/previdencia-reformar-para-excluir-completo/</w:t>
        </w:r>
      </w:hyperlink>
      <w:r>
        <w:rPr>
          <w:rFonts w:ascii="Georgia" w:hAnsi="Georgia"/>
          <w:sz w:val="18"/>
          <w:szCs w:val="18"/>
        </w:rPr>
        <w:t xml:space="preserve"> </w:t>
      </w:r>
      <w:hyperlink r:id="rId8" w:history="1">
        <w:r w:rsidRPr="004B10A6">
          <w:rPr>
            <w:rStyle w:val="Hyperlink"/>
            <w:rFonts w:ascii="Georgia" w:hAnsi="Georgia"/>
            <w:sz w:val="18"/>
            <w:szCs w:val="18"/>
          </w:rPr>
          <w:t>http://plataformapoliticasocial.com.br/previdencia-social-como-acreditar-nas-previsoes-do-governo-para-2060/</w:t>
        </w:r>
      </w:hyperlink>
    </w:p>
  </w:footnote>
  <w:footnote w:id="18">
    <w:p w:rsidR="00D07A75" w:rsidRDefault="00D07A75">
      <w:pPr>
        <w:pStyle w:val="Textodenotaderodap"/>
      </w:pPr>
      <w:r>
        <w:rPr>
          <w:rStyle w:val="Refdenotaderodap"/>
        </w:rPr>
        <w:footnoteRef/>
      </w:r>
      <w:r>
        <w:t xml:space="preserve"> </w:t>
      </w:r>
      <w:r w:rsidRPr="009A16E5">
        <w:t>Antes da Carta de 1988, o ordenamento jurídico já contemplava a Contribuição da União. Desde a década de 1930, o financiamento da Previdência baseia-se no modelo tripartite clássico, segundo o qual o Estado, os empregadores e os trabalhadores contribuíam em partes iguais. A CF-88, ao criar a Cofins e a CSLL, aperfeiçoou esse modelo e deu a ele status constitucional.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7918332"/>
      <w:docPartObj>
        <w:docPartGallery w:val="Page Numbers (Top of Page)"/>
        <w:docPartUnique/>
      </w:docPartObj>
    </w:sdtPr>
    <w:sdtEndPr/>
    <w:sdtContent>
      <w:p w:rsidR="00D07A75" w:rsidRDefault="00D07A75">
        <w:pPr>
          <w:pStyle w:val="Cabealho"/>
          <w:jc w:val="center"/>
        </w:pPr>
        <w:r>
          <w:t xml:space="preserve">Página </w:t>
        </w:r>
        <w:r>
          <w:rPr>
            <w:b/>
            <w:bCs/>
          </w:rPr>
          <w:fldChar w:fldCharType="begin"/>
        </w:r>
        <w:r>
          <w:rPr>
            <w:b/>
            <w:bCs/>
          </w:rPr>
          <w:instrText>PAGE</w:instrText>
        </w:r>
        <w:r>
          <w:rPr>
            <w:b/>
            <w:bCs/>
          </w:rPr>
          <w:fldChar w:fldCharType="separate"/>
        </w:r>
        <w:r w:rsidR="00D2766E">
          <w:rPr>
            <w:b/>
            <w:bCs/>
            <w:noProof/>
          </w:rPr>
          <w:t>1</w:t>
        </w:r>
        <w:r>
          <w:rPr>
            <w:b/>
            <w:bCs/>
          </w:rPr>
          <w:fldChar w:fldCharType="end"/>
        </w:r>
        <w:r>
          <w:t xml:space="preserve"> de </w:t>
        </w:r>
        <w:r>
          <w:rPr>
            <w:b/>
            <w:bCs/>
          </w:rPr>
          <w:fldChar w:fldCharType="begin"/>
        </w:r>
        <w:r>
          <w:rPr>
            <w:b/>
            <w:bCs/>
          </w:rPr>
          <w:instrText>NUMPAGES</w:instrText>
        </w:r>
        <w:r>
          <w:rPr>
            <w:b/>
            <w:bCs/>
          </w:rPr>
          <w:fldChar w:fldCharType="separate"/>
        </w:r>
        <w:r w:rsidR="00D2766E">
          <w:rPr>
            <w:b/>
            <w:bCs/>
            <w:noProof/>
          </w:rPr>
          <w:t>23</w:t>
        </w:r>
        <w:r>
          <w:rPr>
            <w:b/>
            <w:bCs/>
          </w:rPr>
          <w:fldChar w:fldCharType="end"/>
        </w:r>
      </w:p>
    </w:sdtContent>
  </w:sdt>
  <w:p w:rsidR="00D07A75" w:rsidRDefault="00D07A7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48CC090"/>
    <w:lvl w:ilvl="0">
      <w:start w:val="1"/>
      <w:numFmt w:val="bullet"/>
      <w:pStyle w:val="Commarcadore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3D02FDC"/>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02F05E5E"/>
    <w:multiLevelType w:val="hybridMultilevel"/>
    <w:tmpl w:val="0476727A"/>
    <w:lvl w:ilvl="0" w:tplc="C5583914">
      <w:start w:val="1"/>
      <w:numFmt w:val="bullet"/>
      <w:lvlText w:val=""/>
      <w:lvlJc w:val="left"/>
      <w:pPr>
        <w:tabs>
          <w:tab w:val="num" w:pos="992"/>
        </w:tabs>
        <w:ind w:left="708"/>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06C152B2"/>
    <w:multiLevelType w:val="hybridMultilevel"/>
    <w:tmpl w:val="6824B32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 w15:restartNumberingAfterBreak="0">
    <w:nsid w:val="0BF15810"/>
    <w:multiLevelType w:val="hybridMultilevel"/>
    <w:tmpl w:val="5D482330"/>
    <w:lvl w:ilvl="0" w:tplc="0416000F">
      <w:start w:val="1"/>
      <w:numFmt w:val="decimal"/>
      <w:lvlText w:val="%1."/>
      <w:lvlJc w:val="left"/>
      <w:pPr>
        <w:ind w:left="1004" w:hanging="360"/>
      </w:pPr>
      <w:rPr>
        <w:rFonts w:cs="Times New Roman"/>
      </w:rPr>
    </w:lvl>
    <w:lvl w:ilvl="1" w:tplc="04160019" w:tentative="1">
      <w:start w:val="1"/>
      <w:numFmt w:val="lowerLetter"/>
      <w:lvlText w:val="%2."/>
      <w:lvlJc w:val="left"/>
      <w:pPr>
        <w:ind w:left="1724" w:hanging="360"/>
      </w:pPr>
      <w:rPr>
        <w:rFonts w:cs="Times New Roman"/>
      </w:rPr>
    </w:lvl>
    <w:lvl w:ilvl="2" w:tplc="0416001B" w:tentative="1">
      <w:start w:val="1"/>
      <w:numFmt w:val="lowerRoman"/>
      <w:lvlText w:val="%3."/>
      <w:lvlJc w:val="right"/>
      <w:pPr>
        <w:ind w:left="2444" w:hanging="180"/>
      </w:pPr>
      <w:rPr>
        <w:rFonts w:cs="Times New Roman"/>
      </w:rPr>
    </w:lvl>
    <w:lvl w:ilvl="3" w:tplc="0416000F" w:tentative="1">
      <w:start w:val="1"/>
      <w:numFmt w:val="decimal"/>
      <w:lvlText w:val="%4."/>
      <w:lvlJc w:val="left"/>
      <w:pPr>
        <w:ind w:left="3164" w:hanging="360"/>
      </w:pPr>
      <w:rPr>
        <w:rFonts w:cs="Times New Roman"/>
      </w:rPr>
    </w:lvl>
    <w:lvl w:ilvl="4" w:tplc="04160019" w:tentative="1">
      <w:start w:val="1"/>
      <w:numFmt w:val="lowerLetter"/>
      <w:lvlText w:val="%5."/>
      <w:lvlJc w:val="left"/>
      <w:pPr>
        <w:ind w:left="3884" w:hanging="360"/>
      </w:pPr>
      <w:rPr>
        <w:rFonts w:cs="Times New Roman"/>
      </w:rPr>
    </w:lvl>
    <w:lvl w:ilvl="5" w:tplc="0416001B" w:tentative="1">
      <w:start w:val="1"/>
      <w:numFmt w:val="lowerRoman"/>
      <w:lvlText w:val="%6."/>
      <w:lvlJc w:val="right"/>
      <w:pPr>
        <w:ind w:left="4604" w:hanging="180"/>
      </w:pPr>
      <w:rPr>
        <w:rFonts w:cs="Times New Roman"/>
      </w:rPr>
    </w:lvl>
    <w:lvl w:ilvl="6" w:tplc="0416000F" w:tentative="1">
      <w:start w:val="1"/>
      <w:numFmt w:val="decimal"/>
      <w:lvlText w:val="%7."/>
      <w:lvlJc w:val="left"/>
      <w:pPr>
        <w:ind w:left="5324" w:hanging="360"/>
      </w:pPr>
      <w:rPr>
        <w:rFonts w:cs="Times New Roman"/>
      </w:rPr>
    </w:lvl>
    <w:lvl w:ilvl="7" w:tplc="04160019" w:tentative="1">
      <w:start w:val="1"/>
      <w:numFmt w:val="lowerLetter"/>
      <w:lvlText w:val="%8."/>
      <w:lvlJc w:val="left"/>
      <w:pPr>
        <w:ind w:left="6044" w:hanging="360"/>
      </w:pPr>
      <w:rPr>
        <w:rFonts w:cs="Times New Roman"/>
      </w:rPr>
    </w:lvl>
    <w:lvl w:ilvl="8" w:tplc="0416001B" w:tentative="1">
      <w:start w:val="1"/>
      <w:numFmt w:val="lowerRoman"/>
      <w:lvlText w:val="%9."/>
      <w:lvlJc w:val="right"/>
      <w:pPr>
        <w:ind w:left="6764" w:hanging="180"/>
      </w:pPr>
      <w:rPr>
        <w:rFonts w:cs="Times New Roman"/>
      </w:rPr>
    </w:lvl>
  </w:abstractNum>
  <w:abstractNum w:abstractNumId="5" w15:restartNumberingAfterBreak="0">
    <w:nsid w:val="0E3F39AC"/>
    <w:multiLevelType w:val="hybridMultilevel"/>
    <w:tmpl w:val="6E701AC0"/>
    <w:lvl w:ilvl="0" w:tplc="C5583914">
      <w:start w:val="1"/>
      <w:numFmt w:val="bullet"/>
      <w:lvlText w:val=""/>
      <w:lvlJc w:val="left"/>
      <w:pPr>
        <w:tabs>
          <w:tab w:val="num" w:pos="992"/>
        </w:tabs>
        <w:ind w:left="708"/>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11D13594"/>
    <w:multiLevelType w:val="hybridMultilevel"/>
    <w:tmpl w:val="FC841CB2"/>
    <w:lvl w:ilvl="0" w:tplc="002C196E">
      <w:start w:val="1"/>
      <w:numFmt w:val="decimal"/>
      <w:lvlText w:val="%1-"/>
      <w:lvlJc w:val="left"/>
      <w:pPr>
        <w:ind w:left="1069" w:hanging="360"/>
      </w:pPr>
      <w:rPr>
        <w:rFonts w:cs="Times New Roman" w:hint="default"/>
      </w:rPr>
    </w:lvl>
    <w:lvl w:ilvl="1" w:tplc="04160019" w:tentative="1">
      <w:start w:val="1"/>
      <w:numFmt w:val="lowerLetter"/>
      <w:lvlText w:val="%2."/>
      <w:lvlJc w:val="left"/>
      <w:pPr>
        <w:ind w:left="1789" w:hanging="360"/>
      </w:pPr>
      <w:rPr>
        <w:rFonts w:cs="Times New Roman"/>
      </w:rPr>
    </w:lvl>
    <w:lvl w:ilvl="2" w:tplc="0416001B" w:tentative="1">
      <w:start w:val="1"/>
      <w:numFmt w:val="lowerRoman"/>
      <w:lvlText w:val="%3."/>
      <w:lvlJc w:val="right"/>
      <w:pPr>
        <w:ind w:left="2509" w:hanging="180"/>
      </w:pPr>
      <w:rPr>
        <w:rFonts w:cs="Times New Roman"/>
      </w:rPr>
    </w:lvl>
    <w:lvl w:ilvl="3" w:tplc="0416000F" w:tentative="1">
      <w:start w:val="1"/>
      <w:numFmt w:val="decimal"/>
      <w:lvlText w:val="%4."/>
      <w:lvlJc w:val="left"/>
      <w:pPr>
        <w:ind w:left="3229" w:hanging="360"/>
      </w:pPr>
      <w:rPr>
        <w:rFonts w:cs="Times New Roman"/>
      </w:rPr>
    </w:lvl>
    <w:lvl w:ilvl="4" w:tplc="04160019" w:tentative="1">
      <w:start w:val="1"/>
      <w:numFmt w:val="lowerLetter"/>
      <w:lvlText w:val="%5."/>
      <w:lvlJc w:val="left"/>
      <w:pPr>
        <w:ind w:left="3949" w:hanging="360"/>
      </w:pPr>
      <w:rPr>
        <w:rFonts w:cs="Times New Roman"/>
      </w:rPr>
    </w:lvl>
    <w:lvl w:ilvl="5" w:tplc="0416001B" w:tentative="1">
      <w:start w:val="1"/>
      <w:numFmt w:val="lowerRoman"/>
      <w:lvlText w:val="%6."/>
      <w:lvlJc w:val="right"/>
      <w:pPr>
        <w:ind w:left="4669" w:hanging="180"/>
      </w:pPr>
      <w:rPr>
        <w:rFonts w:cs="Times New Roman"/>
      </w:rPr>
    </w:lvl>
    <w:lvl w:ilvl="6" w:tplc="0416000F" w:tentative="1">
      <w:start w:val="1"/>
      <w:numFmt w:val="decimal"/>
      <w:lvlText w:val="%7."/>
      <w:lvlJc w:val="left"/>
      <w:pPr>
        <w:ind w:left="5389" w:hanging="360"/>
      </w:pPr>
      <w:rPr>
        <w:rFonts w:cs="Times New Roman"/>
      </w:rPr>
    </w:lvl>
    <w:lvl w:ilvl="7" w:tplc="04160019" w:tentative="1">
      <w:start w:val="1"/>
      <w:numFmt w:val="lowerLetter"/>
      <w:lvlText w:val="%8."/>
      <w:lvlJc w:val="left"/>
      <w:pPr>
        <w:ind w:left="6109" w:hanging="360"/>
      </w:pPr>
      <w:rPr>
        <w:rFonts w:cs="Times New Roman"/>
      </w:rPr>
    </w:lvl>
    <w:lvl w:ilvl="8" w:tplc="0416001B" w:tentative="1">
      <w:start w:val="1"/>
      <w:numFmt w:val="lowerRoman"/>
      <w:lvlText w:val="%9."/>
      <w:lvlJc w:val="right"/>
      <w:pPr>
        <w:ind w:left="6829" w:hanging="180"/>
      </w:pPr>
      <w:rPr>
        <w:rFonts w:cs="Times New Roman"/>
      </w:rPr>
    </w:lvl>
  </w:abstractNum>
  <w:abstractNum w:abstractNumId="7" w15:restartNumberingAfterBreak="0">
    <w:nsid w:val="152D1F69"/>
    <w:multiLevelType w:val="hybridMultilevel"/>
    <w:tmpl w:val="6A84AD48"/>
    <w:lvl w:ilvl="0" w:tplc="C5583914">
      <w:start w:val="1"/>
      <w:numFmt w:val="bullet"/>
      <w:lvlText w:val=""/>
      <w:lvlJc w:val="left"/>
      <w:pPr>
        <w:tabs>
          <w:tab w:val="num" w:pos="992"/>
        </w:tabs>
        <w:ind w:left="708"/>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165609CB"/>
    <w:multiLevelType w:val="hybridMultilevel"/>
    <w:tmpl w:val="CE1216A2"/>
    <w:lvl w:ilvl="0" w:tplc="76A893B6">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15:restartNumberingAfterBreak="0">
    <w:nsid w:val="16DC1D34"/>
    <w:multiLevelType w:val="multilevel"/>
    <w:tmpl w:val="C3DC8A1C"/>
    <w:lvl w:ilvl="0">
      <w:start w:val="1"/>
      <w:numFmt w:val="decimal"/>
      <w:lvlText w:val="%1."/>
      <w:lvlJc w:val="left"/>
      <w:pPr>
        <w:ind w:left="720" w:hanging="360"/>
      </w:pPr>
      <w:rPr>
        <w:b/>
        <w:color w:val="4F6228" w:themeColor="accent3" w:themeShade="80"/>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8AA66DB"/>
    <w:multiLevelType w:val="hybridMultilevel"/>
    <w:tmpl w:val="46629E84"/>
    <w:lvl w:ilvl="0" w:tplc="C5583914">
      <w:start w:val="1"/>
      <w:numFmt w:val="bullet"/>
      <w:lvlText w:val=""/>
      <w:lvlJc w:val="left"/>
      <w:pPr>
        <w:tabs>
          <w:tab w:val="num" w:pos="1840"/>
        </w:tabs>
        <w:ind w:left="1556"/>
      </w:pPr>
      <w:rPr>
        <w:rFonts w:ascii="Symbol" w:hAnsi="Symbol" w:hint="default"/>
      </w:rPr>
    </w:lvl>
    <w:lvl w:ilvl="1" w:tplc="04160003" w:tentative="1">
      <w:start w:val="1"/>
      <w:numFmt w:val="bullet"/>
      <w:lvlText w:val="o"/>
      <w:lvlJc w:val="left"/>
      <w:pPr>
        <w:tabs>
          <w:tab w:val="num" w:pos="2996"/>
        </w:tabs>
        <w:ind w:left="2996" w:hanging="360"/>
      </w:pPr>
      <w:rPr>
        <w:rFonts w:ascii="Courier New" w:hAnsi="Courier New" w:hint="default"/>
      </w:rPr>
    </w:lvl>
    <w:lvl w:ilvl="2" w:tplc="04160005" w:tentative="1">
      <w:start w:val="1"/>
      <w:numFmt w:val="bullet"/>
      <w:lvlText w:val=""/>
      <w:lvlJc w:val="left"/>
      <w:pPr>
        <w:tabs>
          <w:tab w:val="num" w:pos="3716"/>
        </w:tabs>
        <w:ind w:left="3716" w:hanging="360"/>
      </w:pPr>
      <w:rPr>
        <w:rFonts w:ascii="Wingdings" w:hAnsi="Wingdings" w:hint="default"/>
      </w:rPr>
    </w:lvl>
    <w:lvl w:ilvl="3" w:tplc="04160001" w:tentative="1">
      <w:start w:val="1"/>
      <w:numFmt w:val="bullet"/>
      <w:lvlText w:val=""/>
      <w:lvlJc w:val="left"/>
      <w:pPr>
        <w:tabs>
          <w:tab w:val="num" w:pos="4436"/>
        </w:tabs>
        <w:ind w:left="4436" w:hanging="360"/>
      </w:pPr>
      <w:rPr>
        <w:rFonts w:ascii="Symbol" w:hAnsi="Symbol" w:hint="default"/>
      </w:rPr>
    </w:lvl>
    <w:lvl w:ilvl="4" w:tplc="04160003" w:tentative="1">
      <w:start w:val="1"/>
      <w:numFmt w:val="bullet"/>
      <w:lvlText w:val="o"/>
      <w:lvlJc w:val="left"/>
      <w:pPr>
        <w:tabs>
          <w:tab w:val="num" w:pos="5156"/>
        </w:tabs>
        <w:ind w:left="5156" w:hanging="360"/>
      </w:pPr>
      <w:rPr>
        <w:rFonts w:ascii="Courier New" w:hAnsi="Courier New" w:hint="default"/>
      </w:rPr>
    </w:lvl>
    <w:lvl w:ilvl="5" w:tplc="04160005" w:tentative="1">
      <w:start w:val="1"/>
      <w:numFmt w:val="bullet"/>
      <w:lvlText w:val=""/>
      <w:lvlJc w:val="left"/>
      <w:pPr>
        <w:tabs>
          <w:tab w:val="num" w:pos="5876"/>
        </w:tabs>
        <w:ind w:left="5876" w:hanging="360"/>
      </w:pPr>
      <w:rPr>
        <w:rFonts w:ascii="Wingdings" w:hAnsi="Wingdings" w:hint="default"/>
      </w:rPr>
    </w:lvl>
    <w:lvl w:ilvl="6" w:tplc="04160001" w:tentative="1">
      <w:start w:val="1"/>
      <w:numFmt w:val="bullet"/>
      <w:lvlText w:val=""/>
      <w:lvlJc w:val="left"/>
      <w:pPr>
        <w:tabs>
          <w:tab w:val="num" w:pos="6596"/>
        </w:tabs>
        <w:ind w:left="6596" w:hanging="360"/>
      </w:pPr>
      <w:rPr>
        <w:rFonts w:ascii="Symbol" w:hAnsi="Symbol" w:hint="default"/>
      </w:rPr>
    </w:lvl>
    <w:lvl w:ilvl="7" w:tplc="04160003" w:tentative="1">
      <w:start w:val="1"/>
      <w:numFmt w:val="bullet"/>
      <w:lvlText w:val="o"/>
      <w:lvlJc w:val="left"/>
      <w:pPr>
        <w:tabs>
          <w:tab w:val="num" w:pos="7316"/>
        </w:tabs>
        <w:ind w:left="7316" w:hanging="360"/>
      </w:pPr>
      <w:rPr>
        <w:rFonts w:ascii="Courier New" w:hAnsi="Courier New" w:hint="default"/>
      </w:rPr>
    </w:lvl>
    <w:lvl w:ilvl="8" w:tplc="04160005" w:tentative="1">
      <w:start w:val="1"/>
      <w:numFmt w:val="bullet"/>
      <w:lvlText w:val=""/>
      <w:lvlJc w:val="left"/>
      <w:pPr>
        <w:tabs>
          <w:tab w:val="num" w:pos="8036"/>
        </w:tabs>
        <w:ind w:left="8036" w:hanging="360"/>
      </w:pPr>
      <w:rPr>
        <w:rFonts w:ascii="Wingdings" w:hAnsi="Wingdings" w:hint="default"/>
      </w:rPr>
    </w:lvl>
  </w:abstractNum>
  <w:abstractNum w:abstractNumId="11" w15:restartNumberingAfterBreak="0">
    <w:nsid w:val="190E7495"/>
    <w:multiLevelType w:val="hybridMultilevel"/>
    <w:tmpl w:val="004818E0"/>
    <w:lvl w:ilvl="0" w:tplc="76A893B6">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15:restartNumberingAfterBreak="0">
    <w:nsid w:val="1A1425B8"/>
    <w:multiLevelType w:val="hybridMultilevel"/>
    <w:tmpl w:val="9E0CA5D2"/>
    <w:lvl w:ilvl="0" w:tplc="D444CFBA">
      <w:start w:val="3"/>
      <w:numFmt w:val="bullet"/>
      <w:lvlText w:val="—"/>
      <w:lvlJc w:val="left"/>
      <w:pPr>
        <w:tabs>
          <w:tab w:val="num" w:pos="1789"/>
        </w:tabs>
        <w:ind w:left="1789" w:hanging="360"/>
      </w:pPr>
      <w:rPr>
        <w:rFonts w:ascii="Arial" w:eastAsia="Times New Roman" w:hAnsi="Arial" w:hint="default"/>
      </w:rPr>
    </w:lvl>
    <w:lvl w:ilvl="1" w:tplc="DD40879C">
      <w:start w:val="1"/>
      <w:numFmt w:val="bullet"/>
      <w:lvlText w:val=""/>
      <w:lvlJc w:val="left"/>
      <w:pPr>
        <w:tabs>
          <w:tab w:val="num" w:pos="2149"/>
        </w:tabs>
        <w:ind w:left="2149" w:hanging="360"/>
      </w:pPr>
      <w:rPr>
        <w:rFonts w:ascii="Symbol" w:eastAsia="Times New Roman" w:hAnsi="Symbol"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B6F2E22"/>
    <w:multiLevelType w:val="hybridMultilevel"/>
    <w:tmpl w:val="2580E50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4" w15:restartNumberingAfterBreak="0">
    <w:nsid w:val="1CF4069B"/>
    <w:multiLevelType w:val="hybridMultilevel"/>
    <w:tmpl w:val="33024FD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1D2B29FA"/>
    <w:multiLevelType w:val="hybridMultilevel"/>
    <w:tmpl w:val="0854DE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DCC5076"/>
    <w:multiLevelType w:val="hybridMultilevel"/>
    <w:tmpl w:val="21A89AE2"/>
    <w:lvl w:ilvl="0" w:tplc="DE0AC4A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0FF036D"/>
    <w:multiLevelType w:val="hybridMultilevel"/>
    <w:tmpl w:val="1AC8B2C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8" w15:restartNumberingAfterBreak="0">
    <w:nsid w:val="26CF15B4"/>
    <w:multiLevelType w:val="hybridMultilevel"/>
    <w:tmpl w:val="AEB86174"/>
    <w:lvl w:ilvl="0" w:tplc="C5583914">
      <w:start w:val="1"/>
      <w:numFmt w:val="bullet"/>
      <w:lvlText w:val=""/>
      <w:lvlJc w:val="left"/>
      <w:pPr>
        <w:tabs>
          <w:tab w:val="num" w:pos="992"/>
        </w:tabs>
        <w:ind w:left="708"/>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29637235"/>
    <w:multiLevelType w:val="hybridMultilevel"/>
    <w:tmpl w:val="0F6A9126"/>
    <w:lvl w:ilvl="0" w:tplc="F3D26B18">
      <w:numFmt w:val="bullet"/>
      <w:lvlText w:val="•"/>
      <w:lvlJc w:val="left"/>
      <w:pPr>
        <w:ind w:left="720" w:hanging="360"/>
      </w:pPr>
      <w:rPr>
        <w:rFonts w:ascii="Calibri" w:eastAsia="Times New Roman" w:hAnsi="Calibri"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B883844"/>
    <w:multiLevelType w:val="hybridMultilevel"/>
    <w:tmpl w:val="8E2CC868"/>
    <w:lvl w:ilvl="0" w:tplc="D444CFBA">
      <w:start w:val="3"/>
      <w:numFmt w:val="bullet"/>
      <w:lvlText w:val="—"/>
      <w:lvlJc w:val="left"/>
      <w:pPr>
        <w:tabs>
          <w:tab w:val="num" w:pos="1789"/>
        </w:tabs>
        <w:ind w:left="1789" w:hanging="360"/>
      </w:pPr>
      <w:rPr>
        <w:rFonts w:ascii="Arial" w:eastAsia="Times New Roman" w:hAnsi="Arial" w:hint="default"/>
      </w:rPr>
    </w:lvl>
    <w:lvl w:ilvl="1" w:tplc="04160019" w:tentative="1">
      <w:start w:val="1"/>
      <w:numFmt w:val="lowerLetter"/>
      <w:lvlText w:val="%2."/>
      <w:lvlJc w:val="left"/>
      <w:pPr>
        <w:tabs>
          <w:tab w:val="num" w:pos="2149"/>
        </w:tabs>
        <w:ind w:left="2149" w:hanging="360"/>
      </w:pPr>
      <w:rPr>
        <w:rFonts w:cs="Times New Roman"/>
      </w:rPr>
    </w:lvl>
    <w:lvl w:ilvl="2" w:tplc="0416001B" w:tentative="1">
      <w:start w:val="1"/>
      <w:numFmt w:val="lowerRoman"/>
      <w:lvlText w:val="%3."/>
      <w:lvlJc w:val="right"/>
      <w:pPr>
        <w:tabs>
          <w:tab w:val="num" w:pos="2869"/>
        </w:tabs>
        <w:ind w:left="2869" w:hanging="180"/>
      </w:pPr>
      <w:rPr>
        <w:rFonts w:cs="Times New Roman"/>
      </w:rPr>
    </w:lvl>
    <w:lvl w:ilvl="3" w:tplc="0416000F" w:tentative="1">
      <w:start w:val="1"/>
      <w:numFmt w:val="decimal"/>
      <w:lvlText w:val="%4."/>
      <w:lvlJc w:val="left"/>
      <w:pPr>
        <w:tabs>
          <w:tab w:val="num" w:pos="3589"/>
        </w:tabs>
        <w:ind w:left="3589" w:hanging="360"/>
      </w:pPr>
      <w:rPr>
        <w:rFonts w:cs="Times New Roman"/>
      </w:rPr>
    </w:lvl>
    <w:lvl w:ilvl="4" w:tplc="04160019" w:tentative="1">
      <w:start w:val="1"/>
      <w:numFmt w:val="lowerLetter"/>
      <w:lvlText w:val="%5."/>
      <w:lvlJc w:val="left"/>
      <w:pPr>
        <w:tabs>
          <w:tab w:val="num" w:pos="4309"/>
        </w:tabs>
        <w:ind w:left="4309" w:hanging="360"/>
      </w:pPr>
      <w:rPr>
        <w:rFonts w:cs="Times New Roman"/>
      </w:rPr>
    </w:lvl>
    <w:lvl w:ilvl="5" w:tplc="0416001B" w:tentative="1">
      <w:start w:val="1"/>
      <w:numFmt w:val="lowerRoman"/>
      <w:lvlText w:val="%6."/>
      <w:lvlJc w:val="right"/>
      <w:pPr>
        <w:tabs>
          <w:tab w:val="num" w:pos="5029"/>
        </w:tabs>
        <w:ind w:left="5029" w:hanging="180"/>
      </w:pPr>
      <w:rPr>
        <w:rFonts w:cs="Times New Roman"/>
      </w:rPr>
    </w:lvl>
    <w:lvl w:ilvl="6" w:tplc="0416000F" w:tentative="1">
      <w:start w:val="1"/>
      <w:numFmt w:val="decimal"/>
      <w:lvlText w:val="%7."/>
      <w:lvlJc w:val="left"/>
      <w:pPr>
        <w:tabs>
          <w:tab w:val="num" w:pos="5749"/>
        </w:tabs>
        <w:ind w:left="5749" w:hanging="360"/>
      </w:pPr>
      <w:rPr>
        <w:rFonts w:cs="Times New Roman"/>
      </w:rPr>
    </w:lvl>
    <w:lvl w:ilvl="7" w:tplc="04160019" w:tentative="1">
      <w:start w:val="1"/>
      <w:numFmt w:val="lowerLetter"/>
      <w:lvlText w:val="%8."/>
      <w:lvlJc w:val="left"/>
      <w:pPr>
        <w:tabs>
          <w:tab w:val="num" w:pos="6469"/>
        </w:tabs>
        <w:ind w:left="6469" w:hanging="360"/>
      </w:pPr>
      <w:rPr>
        <w:rFonts w:cs="Times New Roman"/>
      </w:rPr>
    </w:lvl>
    <w:lvl w:ilvl="8" w:tplc="0416001B" w:tentative="1">
      <w:start w:val="1"/>
      <w:numFmt w:val="lowerRoman"/>
      <w:lvlText w:val="%9."/>
      <w:lvlJc w:val="right"/>
      <w:pPr>
        <w:tabs>
          <w:tab w:val="num" w:pos="7189"/>
        </w:tabs>
        <w:ind w:left="7189" w:hanging="180"/>
      </w:pPr>
      <w:rPr>
        <w:rFonts w:cs="Times New Roman"/>
      </w:rPr>
    </w:lvl>
  </w:abstractNum>
  <w:abstractNum w:abstractNumId="21" w15:restartNumberingAfterBreak="0">
    <w:nsid w:val="2F4362B3"/>
    <w:multiLevelType w:val="hybridMultilevel"/>
    <w:tmpl w:val="5650ACF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2" w15:restartNumberingAfterBreak="0">
    <w:nsid w:val="30264C12"/>
    <w:multiLevelType w:val="hybridMultilevel"/>
    <w:tmpl w:val="10B69A9A"/>
    <w:lvl w:ilvl="0" w:tplc="C5583914">
      <w:start w:val="1"/>
      <w:numFmt w:val="bullet"/>
      <w:lvlText w:val=""/>
      <w:lvlJc w:val="left"/>
      <w:pPr>
        <w:tabs>
          <w:tab w:val="num" w:pos="992"/>
        </w:tabs>
        <w:ind w:left="708"/>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32221064"/>
    <w:multiLevelType w:val="hybridMultilevel"/>
    <w:tmpl w:val="07E41E9E"/>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4" w15:restartNumberingAfterBreak="0">
    <w:nsid w:val="32AE7C85"/>
    <w:multiLevelType w:val="hybridMultilevel"/>
    <w:tmpl w:val="BFE415F0"/>
    <w:lvl w:ilvl="0" w:tplc="D45A2882">
      <w:start w:val="1"/>
      <w:numFmt w:val="bullet"/>
      <w:lvlText w:val=""/>
      <w:lvlJc w:val="left"/>
      <w:pPr>
        <w:tabs>
          <w:tab w:val="num" w:pos="633"/>
        </w:tabs>
        <w:ind w:left="349" w:firstLine="113"/>
      </w:pPr>
      <w:rPr>
        <w:rFonts w:ascii="Wingdings" w:hAnsi="Wingdings" w:hint="default"/>
      </w:rPr>
    </w:lvl>
    <w:lvl w:ilvl="1" w:tplc="04160003" w:tentative="1">
      <w:start w:val="1"/>
      <w:numFmt w:val="bullet"/>
      <w:lvlText w:val="o"/>
      <w:lvlJc w:val="left"/>
      <w:pPr>
        <w:tabs>
          <w:tab w:val="num" w:pos="1789"/>
        </w:tabs>
        <w:ind w:left="1789" w:hanging="360"/>
      </w:pPr>
      <w:rPr>
        <w:rFonts w:ascii="Courier New" w:hAnsi="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25" w15:restartNumberingAfterBreak="0">
    <w:nsid w:val="33F7457D"/>
    <w:multiLevelType w:val="multilevel"/>
    <w:tmpl w:val="EFA40AE0"/>
    <w:lvl w:ilvl="0">
      <w:start w:val="1"/>
      <w:numFmt w:val="decimal"/>
      <w:lvlText w:val="%1."/>
      <w:lvlJc w:val="left"/>
      <w:pPr>
        <w:ind w:left="360" w:hanging="360"/>
      </w:pPr>
      <w:rPr>
        <w:rFonts w:hint="default"/>
        <w:color w:val="76923C" w:themeColor="accent3" w:themeShade="BF"/>
        <w:sz w:val="56"/>
      </w:rPr>
    </w:lvl>
    <w:lvl w:ilvl="1">
      <w:start w:val="1"/>
      <w:numFmt w:val="decimal"/>
      <w:lvlText w:val="%1.%2."/>
      <w:lvlJc w:val="left"/>
      <w:pPr>
        <w:ind w:left="792" w:hanging="432"/>
      </w:pPr>
      <w:rPr>
        <w:sz w:val="3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48F19D4"/>
    <w:multiLevelType w:val="hybridMultilevel"/>
    <w:tmpl w:val="07545C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4B40B72"/>
    <w:multiLevelType w:val="hybridMultilevel"/>
    <w:tmpl w:val="82E04B46"/>
    <w:lvl w:ilvl="0" w:tplc="C5583914">
      <w:start w:val="1"/>
      <w:numFmt w:val="bullet"/>
      <w:lvlText w:val=""/>
      <w:lvlJc w:val="left"/>
      <w:pPr>
        <w:tabs>
          <w:tab w:val="num" w:pos="644"/>
        </w:tabs>
        <w:ind w:left="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5746EF7"/>
    <w:multiLevelType w:val="hybridMultilevel"/>
    <w:tmpl w:val="809E93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65F1AA2"/>
    <w:multiLevelType w:val="hybridMultilevel"/>
    <w:tmpl w:val="ED66ECAA"/>
    <w:lvl w:ilvl="0" w:tplc="002C196E">
      <w:start w:val="1"/>
      <w:numFmt w:val="decimal"/>
      <w:lvlText w:val="%1-"/>
      <w:lvlJc w:val="left"/>
      <w:pPr>
        <w:ind w:left="1778" w:hanging="360"/>
      </w:pPr>
      <w:rPr>
        <w:rFonts w:cs="Times New Roman" w:hint="default"/>
      </w:rPr>
    </w:lvl>
    <w:lvl w:ilvl="1" w:tplc="04160019" w:tentative="1">
      <w:start w:val="1"/>
      <w:numFmt w:val="lowerLetter"/>
      <w:lvlText w:val="%2."/>
      <w:lvlJc w:val="left"/>
      <w:pPr>
        <w:ind w:left="2149" w:hanging="360"/>
      </w:pPr>
      <w:rPr>
        <w:rFonts w:cs="Times New Roman"/>
      </w:rPr>
    </w:lvl>
    <w:lvl w:ilvl="2" w:tplc="0416001B" w:tentative="1">
      <w:start w:val="1"/>
      <w:numFmt w:val="lowerRoman"/>
      <w:lvlText w:val="%3."/>
      <w:lvlJc w:val="right"/>
      <w:pPr>
        <w:ind w:left="2869" w:hanging="180"/>
      </w:pPr>
      <w:rPr>
        <w:rFonts w:cs="Times New Roman"/>
      </w:rPr>
    </w:lvl>
    <w:lvl w:ilvl="3" w:tplc="0416000F" w:tentative="1">
      <w:start w:val="1"/>
      <w:numFmt w:val="decimal"/>
      <w:lvlText w:val="%4."/>
      <w:lvlJc w:val="left"/>
      <w:pPr>
        <w:ind w:left="3589" w:hanging="360"/>
      </w:pPr>
      <w:rPr>
        <w:rFonts w:cs="Times New Roman"/>
      </w:rPr>
    </w:lvl>
    <w:lvl w:ilvl="4" w:tplc="04160019" w:tentative="1">
      <w:start w:val="1"/>
      <w:numFmt w:val="lowerLetter"/>
      <w:lvlText w:val="%5."/>
      <w:lvlJc w:val="left"/>
      <w:pPr>
        <w:ind w:left="4309" w:hanging="360"/>
      </w:pPr>
      <w:rPr>
        <w:rFonts w:cs="Times New Roman"/>
      </w:rPr>
    </w:lvl>
    <w:lvl w:ilvl="5" w:tplc="0416001B" w:tentative="1">
      <w:start w:val="1"/>
      <w:numFmt w:val="lowerRoman"/>
      <w:lvlText w:val="%6."/>
      <w:lvlJc w:val="right"/>
      <w:pPr>
        <w:ind w:left="5029" w:hanging="180"/>
      </w:pPr>
      <w:rPr>
        <w:rFonts w:cs="Times New Roman"/>
      </w:rPr>
    </w:lvl>
    <w:lvl w:ilvl="6" w:tplc="0416000F" w:tentative="1">
      <w:start w:val="1"/>
      <w:numFmt w:val="decimal"/>
      <w:lvlText w:val="%7."/>
      <w:lvlJc w:val="left"/>
      <w:pPr>
        <w:ind w:left="5749" w:hanging="360"/>
      </w:pPr>
      <w:rPr>
        <w:rFonts w:cs="Times New Roman"/>
      </w:rPr>
    </w:lvl>
    <w:lvl w:ilvl="7" w:tplc="04160019" w:tentative="1">
      <w:start w:val="1"/>
      <w:numFmt w:val="lowerLetter"/>
      <w:lvlText w:val="%8."/>
      <w:lvlJc w:val="left"/>
      <w:pPr>
        <w:ind w:left="6469" w:hanging="360"/>
      </w:pPr>
      <w:rPr>
        <w:rFonts w:cs="Times New Roman"/>
      </w:rPr>
    </w:lvl>
    <w:lvl w:ilvl="8" w:tplc="0416001B" w:tentative="1">
      <w:start w:val="1"/>
      <w:numFmt w:val="lowerRoman"/>
      <w:lvlText w:val="%9."/>
      <w:lvlJc w:val="right"/>
      <w:pPr>
        <w:ind w:left="7189" w:hanging="180"/>
      </w:pPr>
      <w:rPr>
        <w:rFonts w:cs="Times New Roman"/>
      </w:rPr>
    </w:lvl>
  </w:abstractNum>
  <w:abstractNum w:abstractNumId="30" w15:restartNumberingAfterBreak="0">
    <w:nsid w:val="37FE53B2"/>
    <w:multiLevelType w:val="hybridMultilevel"/>
    <w:tmpl w:val="17C2E5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CE15674"/>
    <w:multiLevelType w:val="hybridMultilevel"/>
    <w:tmpl w:val="D8525A9E"/>
    <w:lvl w:ilvl="0" w:tplc="34F62D78">
      <w:start w:val="1"/>
      <w:numFmt w:val="lowerLetter"/>
      <w:lvlText w:val="%1)"/>
      <w:lvlJc w:val="left"/>
      <w:pPr>
        <w:ind w:left="689" w:hanging="360"/>
      </w:pPr>
      <w:rPr>
        <w:rFonts w:cs="Times New Roman" w:hint="default"/>
      </w:rPr>
    </w:lvl>
    <w:lvl w:ilvl="1" w:tplc="04160019" w:tentative="1">
      <w:start w:val="1"/>
      <w:numFmt w:val="lowerLetter"/>
      <w:lvlText w:val="%2."/>
      <w:lvlJc w:val="left"/>
      <w:pPr>
        <w:ind w:left="1409" w:hanging="360"/>
      </w:pPr>
      <w:rPr>
        <w:rFonts w:cs="Times New Roman"/>
      </w:rPr>
    </w:lvl>
    <w:lvl w:ilvl="2" w:tplc="0416001B" w:tentative="1">
      <w:start w:val="1"/>
      <w:numFmt w:val="lowerRoman"/>
      <w:lvlText w:val="%3."/>
      <w:lvlJc w:val="right"/>
      <w:pPr>
        <w:ind w:left="2129" w:hanging="180"/>
      </w:pPr>
      <w:rPr>
        <w:rFonts w:cs="Times New Roman"/>
      </w:rPr>
    </w:lvl>
    <w:lvl w:ilvl="3" w:tplc="0416000F" w:tentative="1">
      <w:start w:val="1"/>
      <w:numFmt w:val="decimal"/>
      <w:lvlText w:val="%4."/>
      <w:lvlJc w:val="left"/>
      <w:pPr>
        <w:ind w:left="2849" w:hanging="360"/>
      </w:pPr>
      <w:rPr>
        <w:rFonts w:cs="Times New Roman"/>
      </w:rPr>
    </w:lvl>
    <w:lvl w:ilvl="4" w:tplc="04160019" w:tentative="1">
      <w:start w:val="1"/>
      <w:numFmt w:val="lowerLetter"/>
      <w:lvlText w:val="%5."/>
      <w:lvlJc w:val="left"/>
      <w:pPr>
        <w:ind w:left="3569" w:hanging="360"/>
      </w:pPr>
      <w:rPr>
        <w:rFonts w:cs="Times New Roman"/>
      </w:rPr>
    </w:lvl>
    <w:lvl w:ilvl="5" w:tplc="0416001B" w:tentative="1">
      <w:start w:val="1"/>
      <w:numFmt w:val="lowerRoman"/>
      <w:lvlText w:val="%6."/>
      <w:lvlJc w:val="right"/>
      <w:pPr>
        <w:ind w:left="4289" w:hanging="180"/>
      </w:pPr>
      <w:rPr>
        <w:rFonts w:cs="Times New Roman"/>
      </w:rPr>
    </w:lvl>
    <w:lvl w:ilvl="6" w:tplc="0416000F" w:tentative="1">
      <w:start w:val="1"/>
      <w:numFmt w:val="decimal"/>
      <w:lvlText w:val="%7."/>
      <w:lvlJc w:val="left"/>
      <w:pPr>
        <w:ind w:left="5009" w:hanging="360"/>
      </w:pPr>
      <w:rPr>
        <w:rFonts w:cs="Times New Roman"/>
      </w:rPr>
    </w:lvl>
    <w:lvl w:ilvl="7" w:tplc="04160019" w:tentative="1">
      <w:start w:val="1"/>
      <w:numFmt w:val="lowerLetter"/>
      <w:lvlText w:val="%8."/>
      <w:lvlJc w:val="left"/>
      <w:pPr>
        <w:ind w:left="5729" w:hanging="360"/>
      </w:pPr>
      <w:rPr>
        <w:rFonts w:cs="Times New Roman"/>
      </w:rPr>
    </w:lvl>
    <w:lvl w:ilvl="8" w:tplc="0416001B" w:tentative="1">
      <w:start w:val="1"/>
      <w:numFmt w:val="lowerRoman"/>
      <w:lvlText w:val="%9."/>
      <w:lvlJc w:val="right"/>
      <w:pPr>
        <w:ind w:left="6449" w:hanging="180"/>
      </w:pPr>
      <w:rPr>
        <w:rFonts w:cs="Times New Roman"/>
      </w:rPr>
    </w:lvl>
  </w:abstractNum>
  <w:abstractNum w:abstractNumId="32" w15:restartNumberingAfterBreak="0">
    <w:nsid w:val="41B927C7"/>
    <w:multiLevelType w:val="hybridMultilevel"/>
    <w:tmpl w:val="5546FA0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3" w15:restartNumberingAfterBreak="0">
    <w:nsid w:val="45285901"/>
    <w:multiLevelType w:val="hybridMultilevel"/>
    <w:tmpl w:val="AD980EE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4" w15:restartNumberingAfterBreak="0">
    <w:nsid w:val="49354307"/>
    <w:multiLevelType w:val="hybridMultilevel"/>
    <w:tmpl w:val="53E2857A"/>
    <w:lvl w:ilvl="0" w:tplc="C5583914">
      <w:start w:val="1"/>
      <w:numFmt w:val="bullet"/>
      <w:lvlText w:val=""/>
      <w:lvlJc w:val="left"/>
      <w:pPr>
        <w:tabs>
          <w:tab w:val="num" w:pos="992"/>
        </w:tabs>
        <w:ind w:left="708"/>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35" w15:restartNumberingAfterBreak="0">
    <w:nsid w:val="4A097A48"/>
    <w:multiLevelType w:val="hybridMultilevel"/>
    <w:tmpl w:val="EDA454D2"/>
    <w:lvl w:ilvl="0" w:tplc="DE0AC4A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CD549B5"/>
    <w:multiLevelType w:val="hybridMultilevel"/>
    <w:tmpl w:val="DF1611A4"/>
    <w:lvl w:ilvl="0" w:tplc="C5583914">
      <w:start w:val="1"/>
      <w:numFmt w:val="bullet"/>
      <w:lvlText w:val=""/>
      <w:lvlJc w:val="left"/>
      <w:pPr>
        <w:tabs>
          <w:tab w:val="num" w:pos="992"/>
        </w:tabs>
        <w:ind w:left="708"/>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37" w15:restartNumberingAfterBreak="0">
    <w:nsid w:val="4CE71075"/>
    <w:multiLevelType w:val="hybridMultilevel"/>
    <w:tmpl w:val="0FB4F080"/>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8" w15:restartNumberingAfterBreak="0">
    <w:nsid w:val="4F996D40"/>
    <w:multiLevelType w:val="hybridMultilevel"/>
    <w:tmpl w:val="1C7C3AEE"/>
    <w:lvl w:ilvl="0" w:tplc="0416000F">
      <w:start w:val="1"/>
      <w:numFmt w:val="decimal"/>
      <w:lvlText w:val="%1."/>
      <w:lvlJc w:val="left"/>
      <w:pPr>
        <w:tabs>
          <w:tab w:val="num" w:pos="720"/>
        </w:tabs>
        <w:ind w:left="720" w:hanging="360"/>
      </w:pPr>
      <w:rPr>
        <w:rFonts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FE434A"/>
    <w:multiLevelType w:val="hybridMultilevel"/>
    <w:tmpl w:val="66BCBBAA"/>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0" w15:restartNumberingAfterBreak="0">
    <w:nsid w:val="54ED4C45"/>
    <w:multiLevelType w:val="hybridMultilevel"/>
    <w:tmpl w:val="7CC4E578"/>
    <w:lvl w:ilvl="0" w:tplc="C5583914">
      <w:start w:val="1"/>
      <w:numFmt w:val="bullet"/>
      <w:lvlText w:val=""/>
      <w:lvlJc w:val="left"/>
      <w:pPr>
        <w:tabs>
          <w:tab w:val="num" w:pos="992"/>
        </w:tabs>
        <w:ind w:left="708"/>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41" w15:restartNumberingAfterBreak="0">
    <w:nsid w:val="59583E94"/>
    <w:multiLevelType w:val="hybridMultilevel"/>
    <w:tmpl w:val="FB56C8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9EC6DB4"/>
    <w:multiLevelType w:val="hybridMultilevel"/>
    <w:tmpl w:val="E7240A82"/>
    <w:lvl w:ilvl="0" w:tplc="002C196E">
      <w:start w:val="1"/>
      <w:numFmt w:val="decimal"/>
      <w:lvlText w:val="%1-"/>
      <w:lvlJc w:val="left"/>
      <w:pPr>
        <w:ind w:left="1778" w:hanging="360"/>
      </w:pPr>
      <w:rPr>
        <w:rFonts w:cs="Times New Roman" w:hint="default"/>
      </w:rPr>
    </w:lvl>
    <w:lvl w:ilvl="1" w:tplc="04160019" w:tentative="1">
      <w:start w:val="1"/>
      <w:numFmt w:val="lowerLetter"/>
      <w:lvlText w:val="%2."/>
      <w:lvlJc w:val="left"/>
      <w:pPr>
        <w:ind w:left="2149" w:hanging="360"/>
      </w:pPr>
      <w:rPr>
        <w:rFonts w:cs="Times New Roman"/>
      </w:rPr>
    </w:lvl>
    <w:lvl w:ilvl="2" w:tplc="0416001B" w:tentative="1">
      <w:start w:val="1"/>
      <w:numFmt w:val="lowerRoman"/>
      <w:lvlText w:val="%3."/>
      <w:lvlJc w:val="right"/>
      <w:pPr>
        <w:ind w:left="2869" w:hanging="180"/>
      </w:pPr>
      <w:rPr>
        <w:rFonts w:cs="Times New Roman"/>
      </w:rPr>
    </w:lvl>
    <w:lvl w:ilvl="3" w:tplc="0416000F" w:tentative="1">
      <w:start w:val="1"/>
      <w:numFmt w:val="decimal"/>
      <w:lvlText w:val="%4."/>
      <w:lvlJc w:val="left"/>
      <w:pPr>
        <w:ind w:left="3589" w:hanging="360"/>
      </w:pPr>
      <w:rPr>
        <w:rFonts w:cs="Times New Roman"/>
      </w:rPr>
    </w:lvl>
    <w:lvl w:ilvl="4" w:tplc="04160019" w:tentative="1">
      <w:start w:val="1"/>
      <w:numFmt w:val="lowerLetter"/>
      <w:lvlText w:val="%5."/>
      <w:lvlJc w:val="left"/>
      <w:pPr>
        <w:ind w:left="4309" w:hanging="360"/>
      </w:pPr>
      <w:rPr>
        <w:rFonts w:cs="Times New Roman"/>
      </w:rPr>
    </w:lvl>
    <w:lvl w:ilvl="5" w:tplc="0416001B" w:tentative="1">
      <w:start w:val="1"/>
      <w:numFmt w:val="lowerRoman"/>
      <w:lvlText w:val="%6."/>
      <w:lvlJc w:val="right"/>
      <w:pPr>
        <w:ind w:left="5029" w:hanging="180"/>
      </w:pPr>
      <w:rPr>
        <w:rFonts w:cs="Times New Roman"/>
      </w:rPr>
    </w:lvl>
    <w:lvl w:ilvl="6" w:tplc="0416000F" w:tentative="1">
      <w:start w:val="1"/>
      <w:numFmt w:val="decimal"/>
      <w:lvlText w:val="%7."/>
      <w:lvlJc w:val="left"/>
      <w:pPr>
        <w:ind w:left="5749" w:hanging="360"/>
      </w:pPr>
      <w:rPr>
        <w:rFonts w:cs="Times New Roman"/>
      </w:rPr>
    </w:lvl>
    <w:lvl w:ilvl="7" w:tplc="04160019" w:tentative="1">
      <w:start w:val="1"/>
      <w:numFmt w:val="lowerLetter"/>
      <w:lvlText w:val="%8."/>
      <w:lvlJc w:val="left"/>
      <w:pPr>
        <w:ind w:left="6469" w:hanging="360"/>
      </w:pPr>
      <w:rPr>
        <w:rFonts w:cs="Times New Roman"/>
      </w:rPr>
    </w:lvl>
    <w:lvl w:ilvl="8" w:tplc="0416001B" w:tentative="1">
      <w:start w:val="1"/>
      <w:numFmt w:val="lowerRoman"/>
      <w:lvlText w:val="%9."/>
      <w:lvlJc w:val="right"/>
      <w:pPr>
        <w:ind w:left="7189" w:hanging="180"/>
      </w:pPr>
      <w:rPr>
        <w:rFonts w:cs="Times New Roman"/>
      </w:rPr>
    </w:lvl>
  </w:abstractNum>
  <w:abstractNum w:abstractNumId="43" w15:restartNumberingAfterBreak="0">
    <w:nsid w:val="5D06779D"/>
    <w:multiLevelType w:val="hybridMultilevel"/>
    <w:tmpl w:val="6F1E7076"/>
    <w:lvl w:ilvl="0" w:tplc="002C196E">
      <w:start w:val="1"/>
      <w:numFmt w:val="decimal"/>
      <w:lvlText w:val="%1-"/>
      <w:lvlJc w:val="left"/>
      <w:pPr>
        <w:ind w:left="1069" w:hanging="360"/>
      </w:pPr>
      <w:rPr>
        <w:rFonts w:cs="Times New Roman" w:hint="default"/>
      </w:rPr>
    </w:lvl>
    <w:lvl w:ilvl="1" w:tplc="04160019" w:tentative="1">
      <w:start w:val="1"/>
      <w:numFmt w:val="lowerLetter"/>
      <w:lvlText w:val="%2."/>
      <w:lvlJc w:val="left"/>
      <w:pPr>
        <w:ind w:left="1789" w:hanging="360"/>
      </w:pPr>
      <w:rPr>
        <w:rFonts w:cs="Times New Roman"/>
      </w:rPr>
    </w:lvl>
    <w:lvl w:ilvl="2" w:tplc="0416001B" w:tentative="1">
      <w:start w:val="1"/>
      <w:numFmt w:val="lowerRoman"/>
      <w:lvlText w:val="%3."/>
      <w:lvlJc w:val="right"/>
      <w:pPr>
        <w:ind w:left="2509" w:hanging="180"/>
      </w:pPr>
      <w:rPr>
        <w:rFonts w:cs="Times New Roman"/>
      </w:rPr>
    </w:lvl>
    <w:lvl w:ilvl="3" w:tplc="0416000F" w:tentative="1">
      <w:start w:val="1"/>
      <w:numFmt w:val="decimal"/>
      <w:lvlText w:val="%4."/>
      <w:lvlJc w:val="left"/>
      <w:pPr>
        <w:ind w:left="3229" w:hanging="360"/>
      </w:pPr>
      <w:rPr>
        <w:rFonts w:cs="Times New Roman"/>
      </w:rPr>
    </w:lvl>
    <w:lvl w:ilvl="4" w:tplc="04160019" w:tentative="1">
      <w:start w:val="1"/>
      <w:numFmt w:val="lowerLetter"/>
      <w:lvlText w:val="%5."/>
      <w:lvlJc w:val="left"/>
      <w:pPr>
        <w:ind w:left="3949" w:hanging="360"/>
      </w:pPr>
      <w:rPr>
        <w:rFonts w:cs="Times New Roman"/>
      </w:rPr>
    </w:lvl>
    <w:lvl w:ilvl="5" w:tplc="0416001B" w:tentative="1">
      <w:start w:val="1"/>
      <w:numFmt w:val="lowerRoman"/>
      <w:lvlText w:val="%6."/>
      <w:lvlJc w:val="right"/>
      <w:pPr>
        <w:ind w:left="4669" w:hanging="180"/>
      </w:pPr>
      <w:rPr>
        <w:rFonts w:cs="Times New Roman"/>
      </w:rPr>
    </w:lvl>
    <w:lvl w:ilvl="6" w:tplc="0416000F" w:tentative="1">
      <w:start w:val="1"/>
      <w:numFmt w:val="decimal"/>
      <w:lvlText w:val="%7."/>
      <w:lvlJc w:val="left"/>
      <w:pPr>
        <w:ind w:left="5389" w:hanging="360"/>
      </w:pPr>
      <w:rPr>
        <w:rFonts w:cs="Times New Roman"/>
      </w:rPr>
    </w:lvl>
    <w:lvl w:ilvl="7" w:tplc="04160019" w:tentative="1">
      <w:start w:val="1"/>
      <w:numFmt w:val="lowerLetter"/>
      <w:lvlText w:val="%8."/>
      <w:lvlJc w:val="left"/>
      <w:pPr>
        <w:ind w:left="6109" w:hanging="360"/>
      </w:pPr>
      <w:rPr>
        <w:rFonts w:cs="Times New Roman"/>
      </w:rPr>
    </w:lvl>
    <w:lvl w:ilvl="8" w:tplc="0416001B" w:tentative="1">
      <w:start w:val="1"/>
      <w:numFmt w:val="lowerRoman"/>
      <w:lvlText w:val="%9."/>
      <w:lvlJc w:val="right"/>
      <w:pPr>
        <w:ind w:left="6829" w:hanging="180"/>
      </w:pPr>
      <w:rPr>
        <w:rFonts w:cs="Times New Roman"/>
      </w:rPr>
    </w:lvl>
  </w:abstractNum>
  <w:abstractNum w:abstractNumId="44" w15:restartNumberingAfterBreak="0">
    <w:nsid w:val="61072774"/>
    <w:multiLevelType w:val="multilevel"/>
    <w:tmpl w:val="E5B04702"/>
    <w:lvl w:ilvl="0">
      <w:start w:val="1"/>
      <w:numFmt w:val="decimal"/>
      <w:lvlText w:val="%1."/>
      <w:lvlJc w:val="left"/>
      <w:pPr>
        <w:ind w:left="720" w:hanging="360"/>
      </w:pPr>
      <w:rPr>
        <w:b/>
        <w:color w:val="4F6228" w:themeColor="accent3" w:themeShade="80"/>
        <w:sz w:val="4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A3844E4"/>
    <w:multiLevelType w:val="hybridMultilevel"/>
    <w:tmpl w:val="2494BE2C"/>
    <w:lvl w:ilvl="0" w:tplc="DE0AC4A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F403E3A"/>
    <w:multiLevelType w:val="hybridMultilevel"/>
    <w:tmpl w:val="0CEE55C0"/>
    <w:lvl w:ilvl="0" w:tplc="0416000F">
      <w:start w:val="1"/>
      <w:numFmt w:val="decimal"/>
      <w:lvlText w:val="%1."/>
      <w:lvlJc w:val="left"/>
      <w:pPr>
        <w:ind w:left="1060" w:hanging="360"/>
      </w:pPr>
      <w:rPr>
        <w:rFonts w:cs="Times New Roman"/>
      </w:rPr>
    </w:lvl>
    <w:lvl w:ilvl="1" w:tplc="04160019" w:tentative="1">
      <w:start w:val="1"/>
      <w:numFmt w:val="lowerLetter"/>
      <w:lvlText w:val="%2."/>
      <w:lvlJc w:val="left"/>
      <w:pPr>
        <w:ind w:left="1780" w:hanging="360"/>
      </w:pPr>
      <w:rPr>
        <w:rFonts w:cs="Times New Roman"/>
      </w:rPr>
    </w:lvl>
    <w:lvl w:ilvl="2" w:tplc="0416001B" w:tentative="1">
      <w:start w:val="1"/>
      <w:numFmt w:val="lowerRoman"/>
      <w:lvlText w:val="%3."/>
      <w:lvlJc w:val="right"/>
      <w:pPr>
        <w:ind w:left="2500" w:hanging="180"/>
      </w:pPr>
      <w:rPr>
        <w:rFonts w:cs="Times New Roman"/>
      </w:rPr>
    </w:lvl>
    <w:lvl w:ilvl="3" w:tplc="0416000F" w:tentative="1">
      <w:start w:val="1"/>
      <w:numFmt w:val="decimal"/>
      <w:lvlText w:val="%4."/>
      <w:lvlJc w:val="left"/>
      <w:pPr>
        <w:ind w:left="3220" w:hanging="360"/>
      </w:pPr>
      <w:rPr>
        <w:rFonts w:cs="Times New Roman"/>
      </w:rPr>
    </w:lvl>
    <w:lvl w:ilvl="4" w:tplc="04160019" w:tentative="1">
      <w:start w:val="1"/>
      <w:numFmt w:val="lowerLetter"/>
      <w:lvlText w:val="%5."/>
      <w:lvlJc w:val="left"/>
      <w:pPr>
        <w:ind w:left="3940" w:hanging="360"/>
      </w:pPr>
      <w:rPr>
        <w:rFonts w:cs="Times New Roman"/>
      </w:rPr>
    </w:lvl>
    <w:lvl w:ilvl="5" w:tplc="0416001B" w:tentative="1">
      <w:start w:val="1"/>
      <w:numFmt w:val="lowerRoman"/>
      <w:lvlText w:val="%6."/>
      <w:lvlJc w:val="right"/>
      <w:pPr>
        <w:ind w:left="4660" w:hanging="180"/>
      </w:pPr>
      <w:rPr>
        <w:rFonts w:cs="Times New Roman"/>
      </w:rPr>
    </w:lvl>
    <w:lvl w:ilvl="6" w:tplc="0416000F" w:tentative="1">
      <w:start w:val="1"/>
      <w:numFmt w:val="decimal"/>
      <w:lvlText w:val="%7."/>
      <w:lvlJc w:val="left"/>
      <w:pPr>
        <w:ind w:left="5380" w:hanging="360"/>
      </w:pPr>
      <w:rPr>
        <w:rFonts w:cs="Times New Roman"/>
      </w:rPr>
    </w:lvl>
    <w:lvl w:ilvl="7" w:tplc="04160019" w:tentative="1">
      <w:start w:val="1"/>
      <w:numFmt w:val="lowerLetter"/>
      <w:lvlText w:val="%8."/>
      <w:lvlJc w:val="left"/>
      <w:pPr>
        <w:ind w:left="6100" w:hanging="360"/>
      </w:pPr>
      <w:rPr>
        <w:rFonts w:cs="Times New Roman"/>
      </w:rPr>
    </w:lvl>
    <w:lvl w:ilvl="8" w:tplc="0416001B" w:tentative="1">
      <w:start w:val="1"/>
      <w:numFmt w:val="lowerRoman"/>
      <w:lvlText w:val="%9."/>
      <w:lvlJc w:val="right"/>
      <w:pPr>
        <w:ind w:left="6820" w:hanging="180"/>
      </w:pPr>
      <w:rPr>
        <w:rFonts w:cs="Times New Roman"/>
      </w:rPr>
    </w:lvl>
  </w:abstractNum>
  <w:abstractNum w:abstractNumId="47" w15:restartNumberingAfterBreak="0">
    <w:nsid w:val="71AC2DC4"/>
    <w:multiLevelType w:val="hybridMultilevel"/>
    <w:tmpl w:val="3D7E625E"/>
    <w:lvl w:ilvl="0" w:tplc="76A893B6">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8" w15:restartNumberingAfterBreak="0">
    <w:nsid w:val="781B6D1E"/>
    <w:multiLevelType w:val="hybridMultilevel"/>
    <w:tmpl w:val="A99A2A10"/>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hint="default"/>
      </w:rPr>
    </w:lvl>
    <w:lvl w:ilvl="8" w:tplc="04160005" w:tentative="1">
      <w:start w:val="1"/>
      <w:numFmt w:val="bullet"/>
      <w:lvlText w:val=""/>
      <w:lvlJc w:val="left"/>
      <w:pPr>
        <w:ind w:left="6764" w:hanging="360"/>
      </w:pPr>
      <w:rPr>
        <w:rFonts w:ascii="Wingdings" w:hAnsi="Wingdings" w:hint="default"/>
      </w:rPr>
    </w:lvl>
  </w:abstractNum>
  <w:num w:numId="1">
    <w:abstractNumId w:val="0"/>
  </w:num>
  <w:num w:numId="2">
    <w:abstractNumId w:val="1"/>
  </w:num>
  <w:num w:numId="3">
    <w:abstractNumId w:val="23"/>
  </w:num>
  <w:num w:numId="4">
    <w:abstractNumId w:val="24"/>
  </w:num>
  <w:num w:numId="5">
    <w:abstractNumId w:val="38"/>
  </w:num>
  <w:num w:numId="6">
    <w:abstractNumId w:val="5"/>
  </w:num>
  <w:num w:numId="7">
    <w:abstractNumId w:val="34"/>
  </w:num>
  <w:num w:numId="8">
    <w:abstractNumId w:val="40"/>
  </w:num>
  <w:num w:numId="9">
    <w:abstractNumId w:val="2"/>
  </w:num>
  <w:num w:numId="10">
    <w:abstractNumId w:val="36"/>
  </w:num>
  <w:num w:numId="11">
    <w:abstractNumId w:val="18"/>
  </w:num>
  <w:num w:numId="12">
    <w:abstractNumId w:val="27"/>
  </w:num>
  <w:num w:numId="13">
    <w:abstractNumId w:val="10"/>
  </w:num>
  <w:num w:numId="14">
    <w:abstractNumId w:val="7"/>
  </w:num>
  <w:num w:numId="15">
    <w:abstractNumId w:val="22"/>
  </w:num>
  <w:num w:numId="16">
    <w:abstractNumId w:val="20"/>
  </w:num>
  <w:num w:numId="17">
    <w:abstractNumId w:val="12"/>
  </w:num>
  <w:num w:numId="18">
    <w:abstractNumId w:val="17"/>
  </w:num>
  <w:num w:numId="19">
    <w:abstractNumId w:val="33"/>
  </w:num>
  <w:num w:numId="20">
    <w:abstractNumId w:val="8"/>
  </w:num>
  <w:num w:numId="21">
    <w:abstractNumId w:val="47"/>
  </w:num>
  <w:num w:numId="22">
    <w:abstractNumId w:val="41"/>
  </w:num>
  <w:num w:numId="23">
    <w:abstractNumId w:val="19"/>
  </w:num>
  <w:num w:numId="24">
    <w:abstractNumId w:val="11"/>
  </w:num>
  <w:num w:numId="25">
    <w:abstractNumId w:val="43"/>
  </w:num>
  <w:num w:numId="26">
    <w:abstractNumId w:val="29"/>
  </w:num>
  <w:num w:numId="27">
    <w:abstractNumId w:val="42"/>
  </w:num>
  <w:num w:numId="28">
    <w:abstractNumId w:val="6"/>
  </w:num>
  <w:num w:numId="29">
    <w:abstractNumId w:val="21"/>
  </w:num>
  <w:num w:numId="30">
    <w:abstractNumId w:val="46"/>
  </w:num>
  <w:num w:numId="31">
    <w:abstractNumId w:val="13"/>
  </w:num>
  <w:num w:numId="32">
    <w:abstractNumId w:val="48"/>
  </w:num>
  <w:num w:numId="33">
    <w:abstractNumId w:val="3"/>
  </w:num>
  <w:num w:numId="34">
    <w:abstractNumId w:val="31"/>
  </w:num>
  <w:num w:numId="35">
    <w:abstractNumId w:val="32"/>
  </w:num>
  <w:num w:numId="36">
    <w:abstractNumId w:val="39"/>
  </w:num>
  <w:num w:numId="37">
    <w:abstractNumId w:val="37"/>
  </w:num>
  <w:num w:numId="38">
    <w:abstractNumId w:val="4"/>
  </w:num>
  <w:num w:numId="39">
    <w:abstractNumId w:val="45"/>
  </w:num>
  <w:num w:numId="40">
    <w:abstractNumId w:val="16"/>
  </w:num>
  <w:num w:numId="41">
    <w:abstractNumId w:val="30"/>
  </w:num>
  <w:num w:numId="42">
    <w:abstractNumId w:val="9"/>
  </w:num>
  <w:num w:numId="43">
    <w:abstractNumId w:val="35"/>
  </w:num>
  <w:num w:numId="44">
    <w:abstractNumId w:val="25"/>
  </w:num>
  <w:num w:numId="45">
    <w:abstractNumId w:val="14"/>
  </w:num>
  <w:num w:numId="46">
    <w:abstractNumId w:val="26"/>
  </w:num>
  <w:num w:numId="47">
    <w:abstractNumId w:val="28"/>
  </w:num>
  <w:num w:numId="48">
    <w:abstractNumId w:val="15"/>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B50"/>
    <w:rsid w:val="00023C20"/>
    <w:rsid w:val="000576D6"/>
    <w:rsid w:val="00074BE8"/>
    <w:rsid w:val="000A1C6B"/>
    <w:rsid w:val="000A20A2"/>
    <w:rsid w:val="000E702B"/>
    <w:rsid w:val="00116A07"/>
    <w:rsid w:val="00146E78"/>
    <w:rsid w:val="00172251"/>
    <w:rsid w:val="00181EA3"/>
    <w:rsid w:val="001D637A"/>
    <w:rsid w:val="001E0512"/>
    <w:rsid w:val="001E0B50"/>
    <w:rsid w:val="001F43CA"/>
    <w:rsid w:val="0020202E"/>
    <w:rsid w:val="002078FE"/>
    <w:rsid w:val="0024108E"/>
    <w:rsid w:val="002810FD"/>
    <w:rsid w:val="00291E7D"/>
    <w:rsid w:val="002A3A3A"/>
    <w:rsid w:val="002B01D8"/>
    <w:rsid w:val="002D26A8"/>
    <w:rsid w:val="002E7A99"/>
    <w:rsid w:val="002F2E20"/>
    <w:rsid w:val="00306B05"/>
    <w:rsid w:val="00313AD2"/>
    <w:rsid w:val="00321C2B"/>
    <w:rsid w:val="00331FE3"/>
    <w:rsid w:val="00334EE1"/>
    <w:rsid w:val="003351E4"/>
    <w:rsid w:val="003E1C23"/>
    <w:rsid w:val="003E40AC"/>
    <w:rsid w:val="003F5F82"/>
    <w:rsid w:val="00410DF2"/>
    <w:rsid w:val="00422C6E"/>
    <w:rsid w:val="00430BF7"/>
    <w:rsid w:val="004330CF"/>
    <w:rsid w:val="00446142"/>
    <w:rsid w:val="00450155"/>
    <w:rsid w:val="004637C8"/>
    <w:rsid w:val="0048479E"/>
    <w:rsid w:val="004B370C"/>
    <w:rsid w:val="004C6CE8"/>
    <w:rsid w:val="004E1407"/>
    <w:rsid w:val="005136D9"/>
    <w:rsid w:val="005235E1"/>
    <w:rsid w:val="00566BE2"/>
    <w:rsid w:val="005808A6"/>
    <w:rsid w:val="00585D8A"/>
    <w:rsid w:val="005B3A34"/>
    <w:rsid w:val="005C582C"/>
    <w:rsid w:val="005D4BE6"/>
    <w:rsid w:val="00680ADC"/>
    <w:rsid w:val="00697568"/>
    <w:rsid w:val="006B3675"/>
    <w:rsid w:val="007132AD"/>
    <w:rsid w:val="00724831"/>
    <w:rsid w:val="007559BE"/>
    <w:rsid w:val="007808AC"/>
    <w:rsid w:val="00784EC1"/>
    <w:rsid w:val="007B6D87"/>
    <w:rsid w:val="007E77BE"/>
    <w:rsid w:val="007F4E2C"/>
    <w:rsid w:val="007F6050"/>
    <w:rsid w:val="00841635"/>
    <w:rsid w:val="00890F09"/>
    <w:rsid w:val="008A1B60"/>
    <w:rsid w:val="008A5E12"/>
    <w:rsid w:val="008C7A46"/>
    <w:rsid w:val="009161EA"/>
    <w:rsid w:val="009278B5"/>
    <w:rsid w:val="00981A15"/>
    <w:rsid w:val="009831D9"/>
    <w:rsid w:val="00985EFF"/>
    <w:rsid w:val="009A16E5"/>
    <w:rsid w:val="009A3A71"/>
    <w:rsid w:val="009B1B32"/>
    <w:rsid w:val="009B2372"/>
    <w:rsid w:val="009D1E50"/>
    <w:rsid w:val="00A811AE"/>
    <w:rsid w:val="00A90D58"/>
    <w:rsid w:val="00AB27B9"/>
    <w:rsid w:val="00AC7961"/>
    <w:rsid w:val="00AD44BD"/>
    <w:rsid w:val="00B4098D"/>
    <w:rsid w:val="00B423A0"/>
    <w:rsid w:val="00B652E0"/>
    <w:rsid w:val="00BA1C54"/>
    <w:rsid w:val="00BB7F87"/>
    <w:rsid w:val="00BC7A4F"/>
    <w:rsid w:val="00BF6E57"/>
    <w:rsid w:val="00C05478"/>
    <w:rsid w:val="00C863C0"/>
    <w:rsid w:val="00C873C4"/>
    <w:rsid w:val="00CA2B28"/>
    <w:rsid w:val="00D07A75"/>
    <w:rsid w:val="00D2766E"/>
    <w:rsid w:val="00D52AEF"/>
    <w:rsid w:val="00D8246F"/>
    <w:rsid w:val="00D8339B"/>
    <w:rsid w:val="00D84CC8"/>
    <w:rsid w:val="00D91F12"/>
    <w:rsid w:val="00D921D3"/>
    <w:rsid w:val="00DD3014"/>
    <w:rsid w:val="00DD7FF8"/>
    <w:rsid w:val="00DE5A28"/>
    <w:rsid w:val="00E31FF5"/>
    <w:rsid w:val="00E442FC"/>
    <w:rsid w:val="00E5071D"/>
    <w:rsid w:val="00E63593"/>
    <w:rsid w:val="00E93522"/>
    <w:rsid w:val="00E946AB"/>
    <w:rsid w:val="00EA6848"/>
    <w:rsid w:val="00EC5771"/>
    <w:rsid w:val="00F0747A"/>
    <w:rsid w:val="00F078F6"/>
    <w:rsid w:val="00F31363"/>
    <w:rsid w:val="00F36FA7"/>
    <w:rsid w:val="00F378C0"/>
    <w:rsid w:val="00F53AEC"/>
    <w:rsid w:val="00F93266"/>
    <w:rsid w:val="00FC5877"/>
    <w:rsid w:val="00FD76DE"/>
    <w:rsid w:val="00FE14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C3C4370-AA62-446C-AC20-BDE8954BE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E7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9"/>
    <w:qFormat/>
    <w:rsid w:val="001E0B5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har"/>
    <w:uiPriority w:val="99"/>
    <w:qFormat/>
    <w:rsid w:val="001E0B50"/>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har"/>
    <w:uiPriority w:val="99"/>
    <w:qFormat/>
    <w:rsid w:val="001E0B50"/>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9"/>
    <w:qFormat/>
    <w:rsid w:val="001E0B50"/>
    <w:pPr>
      <w:keepNext/>
      <w:keepLines/>
      <w:spacing w:before="200"/>
      <w:outlineLvl w:val="3"/>
    </w:pPr>
    <w:rPr>
      <w:rFonts w:ascii="Cambria" w:hAnsi="Cambria"/>
      <w:b/>
      <w:bCs/>
      <w:i/>
      <w:iCs/>
      <w:color w:val="4F81BD"/>
    </w:rPr>
  </w:style>
  <w:style w:type="paragraph" w:styleId="Ttulo8">
    <w:name w:val="heading 8"/>
    <w:basedOn w:val="Normal"/>
    <w:next w:val="Normal"/>
    <w:link w:val="Ttulo8Char"/>
    <w:uiPriority w:val="99"/>
    <w:qFormat/>
    <w:rsid w:val="001E0B50"/>
    <w:pPr>
      <w:keepNext/>
      <w:keepLines/>
      <w:spacing w:before="200"/>
      <w:outlineLvl w:val="7"/>
    </w:pPr>
    <w:rPr>
      <w:rFonts w:ascii="Cambria" w:hAnsi="Cambria"/>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1E0B50"/>
    <w:rPr>
      <w:rFonts w:ascii="Cambria" w:eastAsia="Times New Roman" w:hAnsi="Cambria" w:cs="Times New Roman"/>
      <w:b/>
      <w:bCs/>
      <w:color w:val="365F91"/>
      <w:sz w:val="28"/>
      <w:szCs w:val="28"/>
      <w:lang w:eastAsia="pt-BR"/>
    </w:rPr>
  </w:style>
  <w:style w:type="character" w:customStyle="1" w:styleId="Ttulo2Char">
    <w:name w:val="Título 2 Char"/>
    <w:basedOn w:val="Fontepargpadro"/>
    <w:link w:val="Ttulo2"/>
    <w:uiPriority w:val="99"/>
    <w:rsid w:val="001E0B50"/>
    <w:rPr>
      <w:rFonts w:ascii="Cambria" w:eastAsia="Times New Roman" w:hAnsi="Cambria" w:cs="Times New Roman"/>
      <w:b/>
      <w:bCs/>
      <w:color w:val="4F81BD"/>
      <w:sz w:val="26"/>
      <w:szCs w:val="26"/>
      <w:lang w:eastAsia="pt-BR"/>
    </w:rPr>
  </w:style>
  <w:style w:type="character" w:customStyle="1" w:styleId="Ttulo3Char">
    <w:name w:val="Título 3 Char"/>
    <w:basedOn w:val="Fontepargpadro"/>
    <w:link w:val="Ttulo3"/>
    <w:uiPriority w:val="99"/>
    <w:rsid w:val="001E0B50"/>
    <w:rPr>
      <w:rFonts w:ascii="Arial" w:eastAsia="Times New Roman" w:hAnsi="Arial" w:cs="Arial"/>
      <w:b/>
      <w:bCs/>
      <w:sz w:val="26"/>
      <w:szCs w:val="26"/>
      <w:lang w:eastAsia="pt-BR"/>
    </w:rPr>
  </w:style>
  <w:style w:type="character" w:customStyle="1" w:styleId="Ttulo4Char">
    <w:name w:val="Título 4 Char"/>
    <w:basedOn w:val="Fontepargpadro"/>
    <w:link w:val="Ttulo4"/>
    <w:uiPriority w:val="99"/>
    <w:rsid w:val="001E0B50"/>
    <w:rPr>
      <w:rFonts w:ascii="Cambria" w:eastAsia="Times New Roman" w:hAnsi="Cambria" w:cs="Times New Roman"/>
      <w:b/>
      <w:bCs/>
      <w:i/>
      <w:iCs/>
      <w:color w:val="4F81BD"/>
      <w:sz w:val="24"/>
      <w:szCs w:val="24"/>
      <w:lang w:eastAsia="pt-BR"/>
    </w:rPr>
  </w:style>
  <w:style w:type="character" w:customStyle="1" w:styleId="Ttulo8Char">
    <w:name w:val="Título 8 Char"/>
    <w:basedOn w:val="Fontepargpadro"/>
    <w:link w:val="Ttulo8"/>
    <w:uiPriority w:val="99"/>
    <w:rsid w:val="001E0B50"/>
    <w:rPr>
      <w:rFonts w:ascii="Cambria" w:eastAsia="Times New Roman" w:hAnsi="Cambria" w:cs="Times New Roman"/>
      <w:color w:val="404040"/>
      <w:sz w:val="20"/>
      <w:szCs w:val="20"/>
      <w:lang w:eastAsia="pt-BR"/>
    </w:rPr>
  </w:style>
  <w:style w:type="paragraph" w:styleId="Textodenotaderodap">
    <w:name w:val="footnote text"/>
    <w:aliases w:val="NotaRodape,Texto de nota de rodapé Char1 Char1 Char,Texto de nota de rodapé Char Char Char1 Char,Texto de nota de rodapé Char1 Char Char Char Char,Texto de nota de rodapé Char Char Char Char,Texto de nota de rodapé Char Char Char"/>
    <w:basedOn w:val="Normal"/>
    <w:link w:val="TextodenotaderodapChar"/>
    <w:uiPriority w:val="99"/>
    <w:qFormat/>
    <w:rsid w:val="001E0B50"/>
    <w:rPr>
      <w:sz w:val="20"/>
      <w:szCs w:val="20"/>
    </w:rPr>
  </w:style>
  <w:style w:type="character" w:customStyle="1" w:styleId="TextodenotaderodapChar">
    <w:name w:val="Texto de nota de rodapé Char"/>
    <w:aliases w:val="NotaRodape Char,Texto de nota de rodapé Char1 Char1 Char Char,Texto de nota de rodapé Char Char Char1 Char Char,Texto de nota de rodapé Char1 Char Char Char Char Char,Texto de nota de rodapé Char Char Char Char Char"/>
    <w:basedOn w:val="Fontepargpadro"/>
    <w:link w:val="Textodenotaderodap"/>
    <w:uiPriority w:val="99"/>
    <w:rsid w:val="001E0B50"/>
    <w:rPr>
      <w:rFonts w:ascii="Times New Roman" w:eastAsia="Times New Roman" w:hAnsi="Times New Roman" w:cs="Times New Roman"/>
      <w:sz w:val="20"/>
      <w:szCs w:val="20"/>
      <w:lang w:eastAsia="pt-BR"/>
    </w:rPr>
  </w:style>
  <w:style w:type="character" w:styleId="Refdenotaderodap">
    <w:name w:val="footnote reference"/>
    <w:aliases w:val="Ref,de nota al pie,nota de rodapé"/>
    <w:basedOn w:val="Fontepargpadro"/>
    <w:rsid w:val="001E0B50"/>
    <w:rPr>
      <w:rFonts w:cs="Times New Roman"/>
      <w:vertAlign w:val="superscript"/>
    </w:rPr>
  </w:style>
  <w:style w:type="paragraph" w:customStyle="1" w:styleId="BodyText25">
    <w:name w:val="Body Text 25"/>
    <w:basedOn w:val="Normal"/>
    <w:uiPriority w:val="99"/>
    <w:rsid w:val="001E0B50"/>
    <w:pPr>
      <w:spacing w:line="280" w:lineRule="atLeast"/>
      <w:ind w:firstLine="720"/>
      <w:jc w:val="both"/>
    </w:pPr>
    <w:rPr>
      <w:sz w:val="22"/>
      <w:szCs w:val="20"/>
    </w:rPr>
  </w:style>
  <w:style w:type="character" w:styleId="Hyperlink">
    <w:name w:val="Hyperlink"/>
    <w:basedOn w:val="Fontepargpadro"/>
    <w:uiPriority w:val="99"/>
    <w:rsid w:val="001E0B50"/>
    <w:rPr>
      <w:rFonts w:cs="Times New Roman"/>
      <w:color w:val="000000"/>
      <w:u w:val="single"/>
    </w:rPr>
  </w:style>
  <w:style w:type="paragraph" w:styleId="Commarcadores2">
    <w:name w:val="List Bullet 2"/>
    <w:basedOn w:val="Normal"/>
    <w:uiPriority w:val="99"/>
    <w:rsid w:val="001E0B50"/>
    <w:pPr>
      <w:numPr>
        <w:numId w:val="1"/>
      </w:numPr>
    </w:pPr>
  </w:style>
  <w:style w:type="paragraph" w:styleId="Commarcadores">
    <w:name w:val="List Bullet"/>
    <w:basedOn w:val="Normal"/>
    <w:uiPriority w:val="99"/>
    <w:rsid w:val="001E0B50"/>
    <w:pPr>
      <w:numPr>
        <w:numId w:val="2"/>
      </w:numPr>
      <w:contextualSpacing/>
    </w:pPr>
  </w:style>
  <w:style w:type="paragraph" w:styleId="Recuodecorpodetexto3">
    <w:name w:val="Body Text Indent 3"/>
    <w:basedOn w:val="Normal"/>
    <w:link w:val="Recuodecorpodetexto3Char"/>
    <w:uiPriority w:val="99"/>
    <w:rsid w:val="001E0B50"/>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1E0B50"/>
    <w:rPr>
      <w:rFonts w:ascii="Times New Roman" w:eastAsia="Times New Roman" w:hAnsi="Times New Roman" w:cs="Times New Roman"/>
      <w:sz w:val="16"/>
      <w:szCs w:val="16"/>
      <w:lang w:eastAsia="pt-BR"/>
    </w:rPr>
  </w:style>
  <w:style w:type="paragraph" w:styleId="Recuodecorpodetexto">
    <w:name w:val="Body Text Indent"/>
    <w:basedOn w:val="Normal"/>
    <w:link w:val="RecuodecorpodetextoChar"/>
    <w:uiPriority w:val="99"/>
    <w:rsid w:val="001E0B50"/>
    <w:pPr>
      <w:spacing w:after="120"/>
      <w:ind w:left="283"/>
    </w:pPr>
  </w:style>
  <w:style w:type="character" w:customStyle="1" w:styleId="RecuodecorpodetextoChar">
    <w:name w:val="Recuo de corpo de texto Char"/>
    <w:basedOn w:val="Fontepargpadro"/>
    <w:link w:val="Recuodecorpodetexto"/>
    <w:uiPriority w:val="99"/>
    <w:rsid w:val="001E0B50"/>
    <w:rPr>
      <w:rFonts w:ascii="Times New Roman" w:eastAsia="Times New Roman" w:hAnsi="Times New Roman" w:cs="Times New Roman"/>
      <w:sz w:val="24"/>
      <w:szCs w:val="24"/>
      <w:lang w:eastAsia="pt-BR"/>
    </w:rPr>
  </w:style>
  <w:style w:type="paragraph" w:customStyle="1" w:styleId="relc-BIBI1">
    <w:name w:val="relc-BIBI1"/>
    <w:uiPriority w:val="99"/>
    <w:rsid w:val="001E0B50"/>
    <w:pPr>
      <w:spacing w:after="120" w:line="220" w:lineRule="atLeast"/>
      <w:ind w:left="425" w:hanging="425"/>
      <w:jc w:val="both"/>
    </w:pPr>
    <w:rPr>
      <w:rFonts w:ascii="Times New Roman" w:eastAsia="Times New Roman" w:hAnsi="Times New Roman" w:cs="Times New Roman"/>
      <w:i/>
      <w:sz w:val="24"/>
      <w:szCs w:val="20"/>
      <w:lang w:eastAsia="pt-BR"/>
    </w:rPr>
  </w:style>
  <w:style w:type="paragraph" w:customStyle="1" w:styleId="BodyTextIndent21">
    <w:name w:val="Body Text Indent 21"/>
    <w:basedOn w:val="Normal"/>
    <w:uiPriority w:val="99"/>
    <w:rsid w:val="001E0B50"/>
    <w:pPr>
      <w:spacing w:after="120"/>
      <w:ind w:firstLine="709"/>
      <w:jc w:val="both"/>
    </w:pPr>
    <w:rPr>
      <w:rFonts w:ascii="Arial" w:hAnsi="Arial"/>
      <w:sz w:val="18"/>
      <w:szCs w:val="20"/>
    </w:rPr>
  </w:style>
  <w:style w:type="paragraph" w:styleId="Cabealho">
    <w:name w:val="header"/>
    <w:basedOn w:val="Normal"/>
    <w:link w:val="CabealhoChar"/>
    <w:uiPriority w:val="99"/>
    <w:rsid w:val="001E0B50"/>
    <w:pPr>
      <w:tabs>
        <w:tab w:val="center" w:pos="4252"/>
        <w:tab w:val="right" w:pos="8504"/>
      </w:tabs>
    </w:pPr>
  </w:style>
  <w:style w:type="character" w:customStyle="1" w:styleId="CabealhoChar">
    <w:name w:val="Cabeçalho Char"/>
    <w:basedOn w:val="Fontepargpadro"/>
    <w:link w:val="Cabealho"/>
    <w:uiPriority w:val="99"/>
    <w:rsid w:val="001E0B50"/>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1E0B50"/>
    <w:pPr>
      <w:tabs>
        <w:tab w:val="center" w:pos="4252"/>
        <w:tab w:val="right" w:pos="8504"/>
      </w:tabs>
    </w:pPr>
  </w:style>
  <w:style w:type="character" w:customStyle="1" w:styleId="RodapChar">
    <w:name w:val="Rodapé Char"/>
    <w:basedOn w:val="Fontepargpadro"/>
    <w:link w:val="Rodap"/>
    <w:uiPriority w:val="99"/>
    <w:rsid w:val="001E0B50"/>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1E0B50"/>
    <w:pPr>
      <w:spacing w:after="120"/>
    </w:pPr>
  </w:style>
  <w:style w:type="character" w:customStyle="1" w:styleId="CorpodetextoChar">
    <w:name w:val="Corpo de texto Char"/>
    <w:basedOn w:val="Fontepargpadro"/>
    <w:link w:val="Corpodetexto"/>
    <w:uiPriority w:val="99"/>
    <w:rsid w:val="001E0B50"/>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rsid w:val="001E0B50"/>
    <w:pPr>
      <w:spacing w:after="120" w:line="480" w:lineRule="auto"/>
      <w:ind w:left="283"/>
    </w:pPr>
  </w:style>
  <w:style w:type="character" w:customStyle="1" w:styleId="Recuodecorpodetexto2Char">
    <w:name w:val="Recuo de corpo de texto 2 Char"/>
    <w:basedOn w:val="Fontepargpadro"/>
    <w:link w:val="Recuodecorpodetexto2"/>
    <w:uiPriority w:val="99"/>
    <w:rsid w:val="001E0B50"/>
    <w:rPr>
      <w:rFonts w:ascii="Times New Roman" w:eastAsia="Times New Roman" w:hAnsi="Times New Roman" w:cs="Times New Roman"/>
      <w:sz w:val="24"/>
      <w:szCs w:val="24"/>
      <w:lang w:eastAsia="pt-BR"/>
    </w:rPr>
  </w:style>
  <w:style w:type="paragraph" w:styleId="Lista">
    <w:name w:val="List"/>
    <w:basedOn w:val="Corpodetexto"/>
    <w:uiPriority w:val="99"/>
    <w:rsid w:val="001E0B50"/>
    <w:pPr>
      <w:widowControl w:val="0"/>
      <w:suppressAutoHyphens/>
    </w:pPr>
    <w:rPr>
      <w:rFonts w:eastAsia="Calibri" w:cs="Tahoma"/>
      <w:szCs w:val="20"/>
    </w:rPr>
  </w:style>
  <w:style w:type="paragraph" w:styleId="Ttulo">
    <w:name w:val="Title"/>
    <w:basedOn w:val="Normal"/>
    <w:link w:val="TtuloChar"/>
    <w:uiPriority w:val="99"/>
    <w:qFormat/>
    <w:rsid w:val="001E0B50"/>
    <w:pPr>
      <w:jc w:val="center"/>
    </w:pPr>
    <w:rPr>
      <w:rFonts w:ascii="Arial" w:hAnsi="Arial" w:cs="Arial"/>
      <w:b/>
      <w:sz w:val="20"/>
    </w:rPr>
  </w:style>
  <w:style w:type="character" w:customStyle="1" w:styleId="TtuloChar">
    <w:name w:val="Título Char"/>
    <w:basedOn w:val="Fontepargpadro"/>
    <w:link w:val="Ttulo"/>
    <w:uiPriority w:val="99"/>
    <w:rsid w:val="001E0B50"/>
    <w:rPr>
      <w:rFonts w:ascii="Arial" w:eastAsia="Times New Roman" w:hAnsi="Arial" w:cs="Arial"/>
      <w:b/>
      <w:sz w:val="20"/>
      <w:szCs w:val="24"/>
      <w:lang w:eastAsia="pt-BR"/>
    </w:rPr>
  </w:style>
  <w:style w:type="paragraph" w:customStyle="1" w:styleId="BTexto">
    <w:name w:val="B.Texto"/>
    <w:uiPriority w:val="99"/>
    <w:rsid w:val="001E0B50"/>
    <w:pPr>
      <w:autoSpaceDE w:val="0"/>
      <w:autoSpaceDN w:val="0"/>
      <w:spacing w:before="120" w:after="0" w:line="220" w:lineRule="exact"/>
      <w:ind w:firstLine="284"/>
      <w:jc w:val="both"/>
    </w:pPr>
    <w:rPr>
      <w:rFonts w:ascii="Arial" w:eastAsia="Times New Roman" w:hAnsi="Arial" w:cs="Arial"/>
      <w:sz w:val="18"/>
      <w:szCs w:val="18"/>
      <w:lang w:eastAsia="pt-BR"/>
    </w:rPr>
  </w:style>
  <w:style w:type="paragraph" w:styleId="NormalWeb">
    <w:name w:val="Normal (Web)"/>
    <w:basedOn w:val="Normal"/>
    <w:uiPriority w:val="99"/>
    <w:rsid w:val="001E0B50"/>
    <w:pPr>
      <w:spacing w:before="100" w:beforeAutospacing="1" w:after="100" w:afterAutospacing="1"/>
    </w:pPr>
  </w:style>
  <w:style w:type="paragraph" w:customStyle="1" w:styleId="artigo">
    <w:name w:val="artigo"/>
    <w:basedOn w:val="Normal"/>
    <w:uiPriority w:val="99"/>
    <w:rsid w:val="001E0B50"/>
    <w:pPr>
      <w:spacing w:before="100" w:beforeAutospacing="1" w:after="100" w:afterAutospacing="1" w:line="288" w:lineRule="atLeast"/>
    </w:pPr>
    <w:rPr>
      <w:color w:val="000000"/>
      <w:sz w:val="22"/>
      <w:szCs w:val="22"/>
    </w:rPr>
  </w:style>
  <w:style w:type="paragraph" w:customStyle="1" w:styleId="paragrafo">
    <w:name w:val="paragrafo"/>
    <w:basedOn w:val="Normal"/>
    <w:uiPriority w:val="99"/>
    <w:rsid w:val="001E0B50"/>
    <w:pPr>
      <w:spacing w:before="100" w:beforeAutospacing="1" w:after="100" w:afterAutospacing="1" w:line="288" w:lineRule="atLeast"/>
    </w:pPr>
    <w:rPr>
      <w:color w:val="000000"/>
      <w:sz w:val="22"/>
      <w:szCs w:val="22"/>
    </w:rPr>
  </w:style>
  <w:style w:type="paragraph" w:customStyle="1" w:styleId="inciso">
    <w:name w:val="inciso"/>
    <w:basedOn w:val="Normal"/>
    <w:uiPriority w:val="99"/>
    <w:rsid w:val="001E0B50"/>
    <w:pPr>
      <w:spacing w:before="100" w:beforeAutospacing="1" w:after="100" w:afterAutospacing="1" w:line="288" w:lineRule="atLeast"/>
    </w:pPr>
    <w:rPr>
      <w:color w:val="000000"/>
      <w:sz w:val="22"/>
      <w:szCs w:val="22"/>
    </w:rPr>
  </w:style>
  <w:style w:type="paragraph" w:customStyle="1" w:styleId="titartb">
    <w:name w:val="titartb"/>
    <w:basedOn w:val="Normal"/>
    <w:uiPriority w:val="99"/>
    <w:rsid w:val="001E0B50"/>
    <w:pPr>
      <w:spacing w:before="100" w:beforeAutospacing="1" w:after="100" w:afterAutospacing="1"/>
      <w:jc w:val="center"/>
    </w:pPr>
    <w:rPr>
      <w:rFonts w:ascii="Arial" w:hAnsi="Arial" w:cs="Arial"/>
      <w:color w:val="95A6AB"/>
      <w:sz w:val="26"/>
      <w:szCs w:val="26"/>
    </w:rPr>
  </w:style>
  <w:style w:type="paragraph" w:customStyle="1" w:styleId="titartb1">
    <w:name w:val="titartb1"/>
    <w:basedOn w:val="Normal"/>
    <w:uiPriority w:val="99"/>
    <w:rsid w:val="001E0B50"/>
    <w:pPr>
      <w:spacing w:before="100" w:beforeAutospacing="1" w:after="100" w:afterAutospacing="1"/>
      <w:jc w:val="center"/>
    </w:pPr>
    <w:rPr>
      <w:rFonts w:ascii="Arial" w:hAnsi="Arial" w:cs="Arial"/>
      <w:color w:val="95A6AB"/>
      <w:sz w:val="22"/>
      <w:szCs w:val="22"/>
    </w:rPr>
  </w:style>
  <w:style w:type="character" w:customStyle="1" w:styleId="subt3">
    <w:name w:val="subt3"/>
    <w:basedOn w:val="Fontepargpadro"/>
    <w:uiPriority w:val="99"/>
    <w:rsid w:val="001E0B50"/>
    <w:rPr>
      <w:rFonts w:ascii="Arial" w:hAnsi="Arial" w:cs="Arial"/>
      <w:b/>
      <w:bCs/>
      <w:color w:val="95A6AB"/>
      <w:sz w:val="29"/>
      <w:szCs w:val="29"/>
    </w:rPr>
  </w:style>
  <w:style w:type="character" w:customStyle="1" w:styleId="subt11">
    <w:name w:val="subt11"/>
    <w:basedOn w:val="Fontepargpadro"/>
    <w:uiPriority w:val="99"/>
    <w:rsid w:val="001E0B50"/>
    <w:rPr>
      <w:rFonts w:ascii="Arial" w:hAnsi="Arial" w:cs="Arial"/>
      <w:b/>
      <w:bCs/>
      <w:color w:val="95A6AB"/>
      <w:sz w:val="24"/>
      <w:szCs w:val="24"/>
    </w:rPr>
  </w:style>
  <w:style w:type="paragraph" w:styleId="PargrafodaLista">
    <w:name w:val="List Paragraph"/>
    <w:basedOn w:val="Normal"/>
    <w:uiPriority w:val="1"/>
    <w:qFormat/>
    <w:rsid w:val="001E0B50"/>
    <w:pPr>
      <w:ind w:left="720"/>
      <w:contextualSpacing/>
    </w:pPr>
  </w:style>
  <w:style w:type="character" w:styleId="Forte">
    <w:name w:val="Strong"/>
    <w:basedOn w:val="Fontepargpadro"/>
    <w:uiPriority w:val="99"/>
    <w:qFormat/>
    <w:rsid w:val="001E0B50"/>
    <w:rPr>
      <w:rFonts w:cs="Times New Roman"/>
      <w:b/>
      <w:bCs/>
    </w:rPr>
  </w:style>
  <w:style w:type="character" w:customStyle="1" w:styleId="artigo1">
    <w:name w:val="artigo1"/>
    <w:uiPriority w:val="99"/>
    <w:rsid w:val="001E0B50"/>
    <w:rPr>
      <w:rFonts w:ascii="Times New Roman" w:hAnsi="Times New Roman"/>
      <w:b/>
      <w:color w:val="000000"/>
      <w:sz w:val="20"/>
    </w:rPr>
  </w:style>
  <w:style w:type="character" w:customStyle="1" w:styleId="stylemanchetedodia1">
    <w:name w:val="style_manchete_do_dia1"/>
    <w:basedOn w:val="Fontepargpadro"/>
    <w:uiPriority w:val="99"/>
    <w:rsid w:val="001E0B50"/>
    <w:rPr>
      <w:rFonts w:ascii="Verdana, Arial, Trebuchet MS" w:hAnsi="Verdana, Arial, Trebuchet MS" w:cs="Times New Roman"/>
      <w:b/>
      <w:bCs/>
      <w:color w:val="78A9D2"/>
      <w:sz w:val="30"/>
      <w:szCs w:val="30"/>
    </w:rPr>
  </w:style>
  <w:style w:type="character" w:customStyle="1" w:styleId="styledatanoticia1">
    <w:name w:val="style_data_noticia1"/>
    <w:basedOn w:val="Fontepargpadro"/>
    <w:uiPriority w:val="99"/>
    <w:rsid w:val="001E0B50"/>
    <w:rPr>
      <w:rFonts w:ascii="Verdana, Arial, Trebuchet MS" w:hAnsi="Verdana, Arial, Trebuchet MS" w:cs="Times New Roman"/>
      <w:color w:val="FE7800"/>
      <w:sz w:val="17"/>
      <w:szCs w:val="17"/>
    </w:rPr>
  </w:style>
  <w:style w:type="character" w:customStyle="1" w:styleId="TextodebaloChar">
    <w:name w:val="Texto de balão Char"/>
    <w:basedOn w:val="Fontepargpadro"/>
    <w:link w:val="Textodebalo"/>
    <w:uiPriority w:val="99"/>
    <w:semiHidden/>
    <w:rsid w:val="001E0B50"/>
    <w:rPr>
      <w:rFonts w:ascii="Tahoma" w:eastAsia="Times New Roman" w:hAnsi="Tahoma" w:cs="Tahoma"/>
      <w:sz w:val="16"/>
      <w:szCs w:val="16"/>
      <w:lang w:eastAsia="pt-BR"/>
    </w:rPr>
  </w:style>
  <w:style w:type="paragraph" w:styleId="Textodebalo">
    <w:name w:val="Balloon Text"/>
    <w:basedOn w:val="Normal"/>
    <w:link w:val="TextodebaloChar"/>
    <w:uiPriority w:val="99"/>
    <w:semiHidden/>
    <w:unhideWhenUsed/>
    <w:rsid w:val="001E0B50"/>
    <w:rPr>
      <w:rFonts w:ascii="Tahoma" w:hAnsi="Tahoma" w:cs="Tahoma"/>
      <w:sz w:val="16"/>
      <w:szCs w:val="16"/>
    </w:rPr>
  </w:style>
  <w:style w:type="numbering" w:customStyle="1" w:styleId="Semlista1">
    <w:name w:val="Sem lista1"/>
    <w:next w:val="Semlista"/>
    <w:uiPriority w:val="99"/>
    <w:semiHidden/>
    <w:unhideWhenUsed/>
    <w:rsid w:val="00981A15"/>
  </w:style>
  <w:style w:type="character" w:styleId="Refdecomentrio">
    <w:name w:val="annotation reference"/>
    <w:basedOn w:val="Fontepargpadro"/>
    <w:uiPriority w:val="99"/>
    <w:semiHidden/>
    <w:unhideWhenUsed/>
    <w:rsid w:val="00981A15"/>
    <w:rPr>
      <w:sz w:val="16"/>
      <w:szCs w:val="16"/>
    </w:rPr>
  </w:style>
  <w:style w:type="paragraph" w:styleId="Textodecomentrio">
    <w:name w:val="annotation text"/>
    <w:basedOn w:val="Normal"/>
    <w:link w:val="TextodecomentrioChar"/>
    <w:uiPriority w:val="99"/>
    <w:semiHidden/>
    <w:unhideWhenUsed/>
    <w:rsid w:val="00981A15"/>
    <w:pPr>
      <w:spacing w:after="200"/>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semiHidden/>
    <w:rsid w:val="00981A15"/>
    <w:rPr>
      <w:sz w:val="20"/>
      <w:szCs w:val="20"/>
    </w:rPr>
  </w:style>
  <w:style w:type="paragraph" w:styleId="Assuntodocomentrio">
    <w:name w:val="annotation subject"/>
    <w:basedOn w:val="Textodecomentrio"/>
    <w:next w:val="Textodecomentrio"/>
    <w:link w:val="AssuntodocomentrioChar"/>
    <w:uiPriority w:val="99"/>
    <w:semiHidden/>
    <w:unhideWhenUsed/>
    <w:rsid w:val="00981A15"/>
    <w:rPr>
      <w:b/>
      <w:bCs/>
    </w:rPr>
  </w:style>
  <w:style w:type="character" w:customStyle="1" w:styleId="AssuntodocomentrioChar">
    <w:name w:val="Assunto do comentário Char"/>
    <w:basedOn w:val="TextodecomentrioChar"/>
    <w:link w:val="Assuntodocomentrio"/>
    <w:uiPriority w:val="99"/>
    <w:semiHidden/>
    <w:rsid w:val="00981A15"/>
    <w:rPr>
      <w:b/>
      <w:bCs/>
      <w:sz w:val="20"/>
      <w:szCs w:val="20"/>
    </w:rPr>
  </w:style>
  <w:style w:type="paragraph" w:styleId="Textodenotadefim">
    <w:name w:val="endnote text"/>
    <w:basedOn w:val="Normal"/>
    <w:link w:val="TextodenotadefimChar"/>
    <w:uiPriority w:val="99"/>
    <w:semiHidden/>
    <w:unhideWhenUsed/>
    <w:rsid w:val="004637C8"/>
    <w:rPr>
      <w:rFonts w:ascii="Calibri" w:hAnsi="Calibri"/>
      <w:sz w:val="20"/>
      <w:szCs w:val="20"/>
      <w:lang w:eastAsia="en-US"/>
    </w:rPr>
  </w:style>
  <w:style w:type="character" w:customStyle="1" w:styleId="TextodenotadefimChar">
    <w:name w:val="Texto de nota de fim Char"/>
    <w:basedOn w:val="Fontepargpadro"/>
    <w:link w:val="Textodenotadefim"/>
    <w:uiPriority w:val="99"/>
    <w:semiHidden/>
    <w:rsid w:val="004637C8"/>
    <w:rPr>
      <w:rFonts w:ascii="Calibri" w:eastAsia="Times New Roman" w:hAnsi="Calibri" w:cs="Times New Roman"/>
      <w:sz w:val="20"/>
      <w:szCs w:val="20"/>
    </w:rPr>
  </w:style>
  <w:style w:type="character" w:styleId="Refdenotadefim">
    <w:name w:val="endnote reference"/>
    <w:basedOn w:val="Fontepargpadro"/>
    <w:unhideWhenUsed/>
    <w:rsid w:val="004637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plataformapoliticasocial.com.br/origem-juridica-do-argumento-do-deficit-da-previdencia-desprezo-na-interpretacao-constitucional/" TargetMode="Externa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_rels/footnotes.xml.rels><?xml version="1.0" encoding="UTF-8" standalone="yes"?>
<Relationships xmlns="http://schemas.openxmlformats.org/package/2006/relationships"><Relationship Id="rId8" Type="http://schemas.openxmlformats.org/officeDocument/2006/relationships/hyperlink" Target="http://plataformapoliticasocial.com.br/previdencia-social-como-acreditar-nas-previsoes-do-governo-para-2060/" TargetMode="External"/><Relationship Id="rId3" Type="http://schemas.openxmlformats.org/officeDocument/2006/relationships/hyperlink" Target="http://plataformapoliticasocial.com.br/previdencia-social-como-acreditar-nas-previsoes-do-governo-para-2060/" TargetMode="External"/><Relationship Id="rId7" Type="http://schemas.openxmlformats.org/officeDocument/2006/relationships/hyperlink" Target="http://plataformapoliticasocial.com.br/previdencia-reformar-para-excluir-completo/" TargetMode="External"/><Relationship Id="rId2" Type="http://schemas.openxmlformats.org/officeDocument/2006/relationships/hyperlink" Target="http://plataformapoliticasocial.com.br/previdencia-reformar-para-excluir-completo/" TargetMode="External"/><Relationship Id="rId1" Type="http://schemas.openxmlformats.org/officeDocument/2006/relationships/hyperlink" Target="http://s.oab.org.br/arquivos/2017/02/carta-aberta-sobre-a-reforma-da-previdencia-5.PDF" TargetMode="External"/><Relationship Id="rId6" Type="http://schemas.openxmlformats.org/officeDocument/2006/relationships/hyperlink" Target="http://www.valor.com.br/arquivo/893219/duas-rotas-que-levam-reducao-da-taxa-de-juros" TargetMode="External"/><Relationship Id="rId5" Type="http://schemas.openxmlformats.org/officeDocument/2006/relationships/hyperlink" Target="http://www1.folha.uol.com.br/fsp/ilustrissima/226576-ajuste-inevitavel.shtml" TargetMode="External"/><Relationship Id="rId4" Type="http://schemas.openxmlformats.org/officeDocument/2006/relationships/hyperlink" Target="http://blogs.estadao.com.br/a-economia-no-novo-governo/?p=6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Planilha_do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Planilha_do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Planilha_do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Planilha_do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Planilha_do_Microsoft_Excel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964756844418836"/>
          <c:y val="0.26424722716112076"/>
          <c:w val="0.39658545120884303"/>
          <c:h val="0.73575277283887941"/>
        </c:manualLayout>
      </c:layout>
      <c:pieChart>
        <c:varyColors val="1"/>
        <c:ser>
          <c:idx val="0"/>
          <c:order val="0"/>
          <c:dPt>
            <c:idx val="0"/>
            <c:bubble3D val="0"/>
            <c:spPr>
              <a:solidFill>
                <a:schemeClr val="accent1"/>
              </a:solidFill>
              <a:ln w="19009">
                <a:solidFill>
                  <a:schemeClr val="lt1"/>
                </a:solidFill>
              </a:ln>
              <a:effectLst/>
            </c:spPr>
          </c:dPt>
          <c:dPt>
            <c:idx val="1"/>
            <c:bubble3D val="0"/>
            <c:spPr>
              <a:solidFill>
                <a:schemeClr val="accent3"/>
              </a:solidFill>
              <a:ln w="19009">
                <a:solidFill>
                  <a:schemeClr val="lt1"/>
                </a:solidFill>
              </a:ln>
              <a:effectLst/>
            </c:spPr>
          </c:dPt>
          <c:dPt>
            <c:idx val="2"/>
            <c:bubble3D val="0"/>
            <c:spPr>
              <a:solidFill>
                <a:schemeClr val="accent5"/>
              </a:solidFill>
              <a:ln w="19009">
                <a:solidFill>
                  <a:schemeClr val="lt1"/>
                </a:solidFill>
              </a:ln>
              <a:effectLst/>
            </c:spPr>
          </c:dPt>
          <c:dPt>
            <c:idx val="3"/>
            <c:bubble3D val="0"/>
            <c:spPr>
              <a:solidFill>
                <a:schemeClr val="accent1">
                  <a:lumMod val="60000"/>
                </a:schemeClr>
              </a:solidFill>
              <a:ln w="19009">
                <a:solidFill>
                  <a:schemeClr val="lt1"/>
                </a:solidFill>
              </a:ln>
              <a:effectLst/>
            </c:spPr>
          </c:dPt>
          <c:dPt>
            <c:idx val="4"/>
            <c:bubble3D val="0"/>
            <c:spPr>
              <a:solidFill>
                <a:schemeClr val="accent3">
                  <a:lumMod val="60000"/>
                </a:schemeClr>
              </a:solidFill>
              <a:ln w="19009">
                <a:solidFill>
                  <a:schemeClr val="lt1"/>
                </a:solidFill>
              </a:ln>
              <a:effectLst/>
            </c:spPr>
          </c:dPt>
          <c:dPt>
            <c:idx val="5"/>
            <c:bubble3D val="0"/>
            <c:spPr>
              <a:solidFill>
                <a:schemeClr val="accent5">
                  <a:lumMod val="60000"/>
                </a:schemeClr>
              </a:solidFill>
              <a:ln w="19009">
                <a:solidFill>
                  <a:schemeClr val="lt1"/>
                </a:solidFill>
              </a:ln>
              <a:effectLst/>
            </c:spPr>
          </c:dPt>
          <c:dPt>
            <c:idx val="6"/>
            <c:bubble3D val="0"/>
            <c:spPr>
              <a:solidFill>
                <a:schemeClr val="accent1">
                  <a:lumMod val="80000"/>
                  <a:lumOff val="20000"/>
                </a:schemeClr>
              </a:solidFill>
              <a:ln w="19009">
                <a:solidFill>
                  <a:schemeClr val="lt1"/>
                </a:solidFill>
              </a:ln>
              <a:effectLst/>
            </c:spPr>
          </c:dPt>
          <c:dPt>
            <c:idx val="7"/>
            <c:bubble3D val="0"/>
            <c:spPr>
              <a:solidFill>
                <a:schemeClr val="accent3">
                  <a:lumMod val="80000"/>
                  <a:lumOff val="20000"/>
                </a:schemeClr>
              </a:solidFill>
              <a:ln w="19009">
                <a:solidFill>
                  <a:schemeClr val="lt1"/>
                </a:solidFill>
              </a:ln>
              <a:effectLst/>
            </c:spPr>
          </c:dPt>
          <c:dLbls>
            <c:dLbl>
              <c:idx val="0"/>
              <c:layout>
                <c:manualLayout>
                  <c:x val="-0.16404940942574422"/>
                  <c:y val="0.10598106680691255"/>
                </c:manualLayout>
              </c:layout>
              <c:tx>
                <c:rich>
                  <a:bodyPr rot="0" spcFirstLastPara="1" vertOverflow="clip" horzOverflow="clip"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sz="800" b="1">
                        <a:solidFill>
                          <a:schemeClr val="bg1"/>
                        </a:solidFill>
                      </a:rPr>
                      <a:t>Aposentadoria</a:t>
                    </a:r>
                  </a:p>
                  <a:p>
                    <a:pPr>
                      <a:defRPr sz="800" b="1" i="0" u="none" strike="noStrike" kern="1200" baseline="0">
                        <a:solidFill>
                          <a:schemeClr val="bg1"/>
                        </a:solidFill>
                        <a:latin typeface="+mn-lt"/>
                        <a:ea typeface="+mn-ea"/>
                        <a:cs typeface="+mn-cs"/>
                      </a:defRPr>
                    </a:pPr>
                    <a:r>
                      <a:rPr lang="en-US" sz="800" b="1">
                        <a:solidFill>
                          <a:schemeClr val="bg1"/>
                        </a:solidFill>
                      </a:rPr>
                      <a:t> por idade
38%</a:t>
                    </a:r>
                    <a:endParaRPr lang="en-US">
                      <a:solidFill>
                        <a:schemeClr val="bg1"/>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3.8227880347449832E-2"/>
                  <c:y val="-9.1251175917215446E-2"/>
                </c:manualLayout>
              </c:layout>
              <c:spPr>
                <a:noFill/>
                <a:ln w="9504" cap="flat" cmpd="sng" algn="ctr">
                  <a:no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4.0952819591725233E-2"/>
                  <c:y val="4.7118169495040784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5.9556393218987376E-2"/>
                  <c:y val="5.4984777890534171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0162002959101453"/>
                  <c:y val="6.7869867630610163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2563850043888106"/>
                  <c:y val="-4.680150517403571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5.8610237604955338E-2"/>
                  <c:y val="-0.1486988985266776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0.21906774459428657"/>
                  <c:y val="-0.10249590743772269"/>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t-BR"/>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Plan1!$B$7:$B$14</c:f>
              <c:strCache>
                <c:ptCount val="8"/>
                <c:pt idx="0">
                  <c:v>Aposentadoria por idade</c:v>
                </c:pt>
                <c:pt idx="1">
                  <c:v>Saúde/doenças</c:v>
                </c:pt>
                <c:pt idx="2">
                  <c:v>Família/crianças</c:v>
                </c:pt>
                <c:pt idx="3">
                  <c:v> Invalidez</c:v>
                </c:pt>
                <c:pt idx="4">
                  <c:v>Pensões</c:v>
                </c:pt>
                <c:pt idx="5">
                  <c:v>Custos administrativos</c:v>
                </c:pt>
                <c:pt idx="6">
                  <c:v>Outras despesas</c:v>
                </c:pt>
                <c:pt idx="7">
                  <c:v>Outros benefícios</c:v>
                </c:pt>
              </c:strCache>
            </c:strRef>
          </c:cat>
          <c:val>
            <c:numRef>
              <c:f>Plan1!$C$7:$C$14</c:f>
              <c:numCache>
                <c:formatCode>0.0</c:formatCode>
                <c:ptCount val="8"/>
                <c:pt idx="0">
                  <c:v>38.4</c:v>
                </c:pt>
                <c:pt idx="1">
                  <c:v>27.9</c:v>
                </c:pt>
                <c:pt idx="2">
                  <c:v>8.1</c:v>
                </c:pt>
                <c:pt idx="3">
                  <c:v>7</c:v>
                </c:pt>
                <c:pt idx="4">
                  <c:v>5.5</c:v>
                </c:pt>
                <c:pt idx="5">
                  <c:v>3</c:v>
                </c:pt>
                <c:pt idx="6">
                  <c:v>0.9</c:v>
                </c:pt>
                <c:pt idx="7">
                  <c:v>9.3000000000000007</c:v>
                </c:pt>
              </c:numCache>
            </c:numRef>
          </c:val>
        </c:ser>
        <c:dLbls>
          <c:showLegendKey val="0"/>
          <c:showVal val="0"/>
          <c:showCatName val="0"/>
          <c:showSerName val="0"/>
          <c:showPercent val="0"/>
          <c:showBubbleSize val="0"/>
          <c:showLeaderLines val="1"/>
        </c:dLbls>
        <c:firstSliceAng val="0"/>
      </c:pieChart>
      <c:spPr>
        <a:noFill/>
        <a:ln w="25388">
          <a:noFill/>
        </a:ln>
      </c:spPr>
    </c:plotArea>
    <c:plotVisOnly val="1"/>
    <c:dispBlanksAs val="zero"/>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452001097901978"/>
          <c:y val="0.12246726960021528"/>
          <c:w val="0.61156124377426679"/>
          <c:h val="0.71951273212285705"/>
        </c:manualLayout>
      </c:layout>
      <c:barChart>
        <c:barDir val="bar"/>
        <c:grouping val="percentStacked"/>
        <c:varyColors val="0"/>
        <c:ser>
          <c:idx val="2"/>
          <c:order val="0"/>
          <c:tx>
            <c:strRef>
              <c:f>Plan1!$O$3</c:f>
              <c:strCache>
                <c:ptCount val="1"/>
                <c:pt idx="0">
                  <c:v>Governo</c:v>
                </c:pt>
              </c:strCache>
            </c:strRef>
          </c:tx>
          <c:spPr>
            <a:solidFill>
              <a:srgbClr val="666699"/>
            </a:solidFill>
            <a:ln>
              <a:noFill/>
            </a:ln>
            <a:effectLst/>
          </c:spPr>
          <c:invertIfNegative val="0"/>
          <c:dLbls>
            <c:numFmt formatCode="#,##0.0" sourceLinked="0"/>
            <c:spPr>
              <a:noFill/>
              <a:ln w="25392">
                <a:noFill/>
              </a:ln>
            </c:spPr>
            <c:txPr>
              <a:bodyPr rot="0" spcFirstLastPara="1" vertOverflow="ellipsis" vert="horz" wrap="square" anchor="ctr" anchorCtr="1"/>
              <a:lstStyle/>
              <a:p>
                <a:pPr>
                  <a:defRPr sz="700" b="0" i="0" u="none" strike="noStrike" kern="1200" baseline="0">
                    <a:solidFill>
                      <a:schemeClr val="bg1"/>
                    </a:solidFill>
                    <a:latin typeface="Arial" pitchFamily="34" charset="0"/>
                    <a:ea typeface="+mn-ea"/>
                    <a:cs typeface="Arial"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Plan1!$L$4:$L$19</c:f>
              <c:strCache>
                <c:ptCount val="16"/>
                <c:pt idx="0">
                  <c:v>Dinamarca</c:v>
                </c:pt>
                <c:pt idx="1">
                  <c:v>Irlanda</c:v>
                </c:pt>
                <c:pt idx="2">
                  <c:v>Suécia</c:v>
                </c:pt>
                <c:pt idx="3">
                  <c:v>Reino Unido</c:v>
                </c:pt>
                <c:pt idx="4">
                  <c:v>Itália</c:v>
                </c:pt>
                <c:pt idx="5">
                  <c:v>Finlândia</c:v>
                </c:pt>
                <c:pt idx="6">
                  <c:v>Portugal</c:v>
                </c:pt>
                <c:pt idx="7">
                  <c:v>Europa dos 15</c:v>
                </c:pt>
                <c:pt idx="8">
                  <c:v>Luxemburgo</c:v>
                </c:pt>
                <c:pt idx="9">
                  <c:v>Espanha</c:v>
                </c:pt>
                <c:pt idx="10">
                  <c:v>Bélgica</c:v>
                </c:pt>
                <c:pt idx="11">
                  <c:v>Áustria</c:v>
                </c:pt>
                <c:pt idx="12">
                  <c:v>Grécia</c:v>
                </c:pt>
                <c:pt idx="13">
                  <c:v>França</c:v>
                </c:pt>
                <c:pt idx="14">
                  <c:v>Alemanha</c:v>
                </c:pt>
                <c:pt idx="15">
                  <c:v>Países Baixos</c:v>
                </c:pt>
              </c:strCache>
            </c:strRef>
          </c:cat>
          <c:val>
            <c:numRef>
              <c:f>Plan1!$O$4:$O$19</c:f>
              <c:numCache>
                <c:formatCode>0.0</c:formatCode>
                <c:ptCount val="16"/>
                <c:pt idx="0">
                  <c:v>75.599999999999994</c:v>
                </c:pt>
                <c:pt idx="1">
                  <c:v>63.2</c:v>
                </c:pt>
                <c:pt idx="2">
                  <c:v>51.9</c:v>
                </c:pt>
                <c:pt idx="3">
                  <c:v>51.1</c:v>
                </c:pt>
                <c:pt idx="4">
                  <c:v>47.9</c:v>
                </c:pt>
                <c:pt idx="5">
                  <c:v>47.4</c:v>
                </c:pt>
                <c:pt idx="6">
                  <c:v>47.3</c:v>
                </c:pt>
                <c:pt idx="7">
                  <c:v>45</c:v>
                </c:pt>
                <c:pt idx="8">
                  <c:v>44.7</c:v>
                </c:pt>
                <c:pt idx="9">
                  <c:v>43.2</c:v>
                </c:pt>
                <c:pt idx="10">
                  <c:v>38</c:v>
                </c:pt>
                <c:pt idx="11">
                  <c:v>35.799999999999997</c:v>
                </c:pt>
                <c:pt idx="12">
                  <c:v>35.4</c:v>
                </c:pt>
                <c:pt idx="13">
                  <c:v>34.9</c:v>
                </c:pt>
                <c:pt idx="14">
                  <c:v>33.6</c:v>
                </c:pt>
                <c:pt idx="15">
                  <c:v>19.100000000000001</c:v>
                </c:pt>
              </c:numCache>
            </c:numRef>
          </c:val>
        </c:ser>
        <c:ser>
          <c:idx val="0"/>
          <c:order val="1"/>
          <c:tx>
            <c:strRef>
              <c:f>Plan1!$M$3</c:f>
              <c:strCache>
                <c:ptCount val="1"/>
                <c:pt idx="0">
                  <c:v>Empregador</c:v>
                </c:pt>
              </c:strCache>
            </c:strRef>
          </c:tx>
          <c:spPr>
            <a:solidFill>
              <a:srgbClr val="002060"/>
            </a:solidFill>
            <a:ln>
              <a:noFill/>
            </a:ln>
            <a:effectLst/>
          </c:spPr>
          <c:invertIfNegative val="0"/>
          <c:dLbls>
            <c:numFmt formatCode="#,##0.0" sourceLinked="0"/>
            <c:spPr>
              <a:noFill/>
              <a:ln w="25392">
                <a:noFill/>
              </a:ln>
            </c:spPr>
            <c:txPr>
              <a:bodyPr rot="0" spcFirstLastPara="1" vertOverflow="ellipsis" vert="horz" wrap="square" anchor="ctr" anchorCtr="1"/>
              <a:lstStyle/>
              <a:p>
                <a:pPr>
                  <a:defRPr sz="700" b="0" i="0" u="none" strike="noStrike" kern="1200" baseline="0">
                    <a:solidFill>
                      <a:schemeClr val="bg1"/>
                    </a:solidFill>
                    <a:latin typeface="Arial" pitchFamily="34" charset="0"/>
                    <a:ea typeface="+mn-ea"/>
                    <a:cs typeface="Arial"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Plan1!$L$4:$L$19</c:f>
              <c:strCache>
                <c:ptCount val="16"/>
                <c:pt idx="0">
                  <c:v>Dinamarca</c:v>
                </c:pt>
                <c:pt idx="1">
                  <c:v>Irlanda</c:v>
                </c:pt>
                <c:pt idx="2">
                  <c:v>Suécia</c:v>
                </c:pt>
                <c:pt idx="3">
                  <c:v>Reino Unido</c:v>
                </c:pt>
                <c:pt idx="4">
                  <c:v>Itália</c:v>
                </c:pt>
                <c:pt idx="5">
                  <c:v>Finlândia</c:v>
                </c:pt>
                <c:pt idx="6">
                  <c:v>Portugal</c:v>
                </c:pt>
                <c:pt idx="7">
                  <c:v>Europa dos 15</c:v>
                </c:pt>
                <c:pt idx="8">
                  <c:v>Luxemburgo</c:v>
                </c:pt>
                <c:pt idx="9">
                  <c:v>Espanha</c:v>
                </c:pt>
                <c:pt idx="10">
                  <c:v>Bélgica</c:v>
                </c:pt>
                <c:pt idx="11">
                  <c:v>Áustria</c:v>
                </c:pt>
                <c:pt idx="12">
                  <c:v>Grécia</c:v>
                </c:pt>
                <c:pt idx="13">
                  <c:v>França</c:v>
                </c:pt>
                <c:pt idx="14">
                  <c:v>Alemanha</c:v>
                </c:pt>
                <c:pt idx="15">
                  <c:v>Países Baixos</c:v>
                </c:pt>
              </c:strCache>
            </c:strRef>
          </c:cat>
          <c:val>
            <c:numRef>
              <c:f>Plan1!$M$4:$M$19</c:f>
              <c:numCache>
                <c:formatCode>0.0</c:formatCode>
                <c:ptCount val="16"/>
                <c:pt idx="0">
                  <c:v>11.5</c:v>
                </c:pt>
                <c:pt idx="1">
                  <c:v>25.1</c:v>
                </c:pt>
                <c:pt idx="2">
                  <c:v>36.5</c:v>
                </c:pt>
                <c:pt idx="3">
                  <c:v>28.9</c:v>
                </c:pt>
                <c:pt idx="4">
                  <c:v>35.299999999999997</c:v>
                </c:pt>
                <c:pt idx="5">
                  <c:v>34.6</c:v>
                </c:pt>
                <c:pt idx="6">
                  <c:v>28.3</c:v>
                </c:pt>
                <c:pt idx="7">
                  <c:v>32.299999999999997</c:v>
                </c:pt>
                <c:pt idx="8">
                  <c:v>25.7</c:v>
                </c:pt>
                <c:pt idx="9">
                  <c:v>42</c:v>
                </c:pt>
                <c:pt idx="10">
                  <c:v>39.9</c:v>
                </c:pt>
                <c:pt idx="11">
                  <c:v>36.5</c:v>
                </c:pt>
                <c:pt idx="12">
                  <c:v>32</c:v>
                </c:pt>
                <c:pt idx="13">
                  <c:v>41.5</c:v>
                </c:pt>
                <c:pt idx="14">
                  <c:v>34.5</c:v>
                </c:pt>
                <c:pt idx="15">
                  <c:v>30.9</c:v>
                </c:pt>
              </c:numCache>
            </c:numRef>
          </c:val>
        </c:ser>
        <c:ser>
          <c:idx val="1"/>
          <c:order val="2"/>
          <c:tx>
            <c:strRef>
              <c:f>Plan1!$N$3</c:f>
              <c:strCache>
                <c:ptCount val="1"/>
                <c:pt idx="0">
                  <c:v>Trabalhador</c:v>
                </c:pt>
              </c:strCache>
            </c:strRef>
          </c:tx>
          <c:spPr>
            <a:solidFill>
              <a:sysClr val="windowText" lastClr="000000">
                <a:lumMod val="50000"/>
                <a:lumOff val="50000"/>
              </a:sysClr>
            </a:solidFill>
            <a:ln>
              <a:noFill/>
            </a:ln>
            <a:effectLst/>
          </c:spPr>
          <c:invertIfNegative val="0"/>
          <c:dLbls>
            <c:numFmt formatCode="#,##0.0" sourceLinked="0"/>
            <c:spPr>
              <a:noFill/>
              <a:ln w="25392">
                <a:noFill/>
              </a:ln>
            </c:spPr>
            <c:txPr>
              <a:bodyPr rot="0" spcFirstLastPara="1" vertOverflow="ellipsis" vert="horz" wrap="square" anchor="ctr" anchorCtr="1"/>
              <a:lstStyle/>
              <a:p>
                <a:pPr>
                  <a:defRPr sz="700" b="0" i="0" u="none" strike="noStrike" kern="1200" baseline="0">
                    <a:solidFill>
                      <a:schemeClr val="bg1"/>
                    </a:solidFill>
                    <a:latin typeface="Arial" pitchFamily="34" charset="0"/>
                    <a:ea typeface="+mn-ea"/>
                    <a:cs typeface="Arial"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Plan1!$L$4:$L$19</c:f>
              <c:strCache>
                <c:ptCount val="16"/>
                <c:pt idx="0">
                  <c:v>Dinamarca</c:v>
                </c:pt>
                <c:pt idx="1">
                  <c:v>Irlanda</c:v>
                </c:pt>
                <c:pt idx="2">
                  <c:v>Suécia</c:v>
                </c:pt>
                <c:pt idx="3">
                  <c:v>Reino Unido</c:v>
                </c:pt>
                <c:pt idx="4">
                  <c:v>Itália</c:v>
                </c:pt>
                <c:pt idx="5">
                  <c:v>Finlândia</c:v>
                </c:pt>
                <c:pt idx="6">
                  <c:v>Portugal</c:v>
                </c:pt>
                <c:pt idx="7">
                  <c:v>Europa dos 15</c:v>
                </c:pt>
                <c:pt idx="8">
                  <c:v>Luxemburgo</c:v>
                </c:pt>
                <c:pt idx="9">
                  <c:v>Espanha</c:v>
                </c:pt>
                <c:pt idx="10">
                  <c:v>Bélgica</c:v>
                </c:pt>
                <c:pt idx="11">
                  <c:v>Áustria</c:v>
                </c:pt>
                <c:pt idx="12">
                  <c:v>Grécia</c:v>
                </c:pt>
                <c:pt idx="13">
                  <c:v>França</c:v>
                </c:pt>
                <c:pt idx="14">
                  <c:v>Alemanha</c:v>
                </c:pt>
                <c:pt idx="15">
                  <c:v>Países Baixos</c:v>
                </c:pt>
              </c:strCache>
            </c:strRef>
          </c:cat>
          <c:val>
            <c:numRef>
              <c:f>Plan1!$N$4:$N$19</c:f>
              <c:numCache>
                <c:formatCode>0.0</c:formatCode>
                <c:ptCount val="16"/>
                <c:pt idx="0">
                  <c:v>8</c:v>
                </c:pt>
                <c:pt idx="1">
                  <c:v>8.1</c:v>
                </c:pt>
                <c:pt idx="2">
                  <c:v>9.6</c:v>
                </c:pt>
                <c:pt idx="3">
                  <c:v>12.7</c:v>
                </c:pt>
                <c:pt idx="4">
                  <c:v>14.9</c:v>
                </c:pt>
                <c:pt idx="5">
                  <c:v>12.5</c:v>
                </c:pt>
                <c:pt idx="6">
                  <c:v>15.2</c:v>
                </c:pt>
                <c:pt idx="7">
                  <c:v>18</c:v>
                </c:pt>
                <c:pt idx="8">
                  <c:v>23.3</c:v>
                </c:pt>
                <c:pt idx="9">
                  <c:v>12.4</c:v>
                </c:pt>
                <c:pt idx="10">
                  <c:v>19.8</c:v>
                </c:pt>
                <c:pt idx="11">
                  <c:v>26</c:v>
                </c:pt>
                <c:pt idx="12">
                  <c:v>20.100000000000001</c:v>
                </c:pt>
                <c:pt idx="13">
                  <c:v>20.3</c:v>
                </c:pt>
                <c:pt idx="14">
                  <c:v>30.3</c:v>
                </c:pt>
                <c:pt idx="15">
                  <c:v>36.5</c:v>
                </c:pt>
              </c:numCache>
            </c:numRef>
          </c:val>
        </c:ser>
        <c:ser>
          <c:idx val="3"/>
          <c:order val="3"/>
          <c:tx>
            <c:strRef>
              <c:f>Plan1!$P$3</c:f>
              <c:strCache>
                <c:ptCount val="1"/>
                <c:pt idx="0">
                  <c:v>Outras</c:v>
                </c:pt>
              </c:strCache>
            </c:strRef>
          </c:tx>
          <c:spPr>
            <a:solidFill>
              <a:srgbClr val="8064A2">
                <a:lumMod val="75000"/>
              </a:srgbClr>
            </a:solidFill>
            <a:ln>
              <a:noFill/>
            </a:ln>
            <a:effectLst/>
          </c:spPr>
          <c:invertIfNegative val="0"/>
          <c:dLbls>
            <c:spPr>
              <a:noFill/>
              <a:ln>
                <a:noFill/>
              </a:ln>
              <a:effectLst/>
            </c:spPr>
            <c:txPr>
              <a:bodyPr/>
              <a:lstStyle/>
              <a:p>
                <a:pPr>
                  <a:defRPr sz="600">
                    <a:solidFill>
                      <a:schemeClr val="bg1"/>
                    </a:solidFill>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Plan1!$L$4:$L$19</c:f>
              <c:strCache>
                <c:ptCount val="16"/>
                <c:pt idx="0">
                  <c:v>Dinamarca</c:v>
                </c:pt>
                <c:pt idx="1">
                  <c:v>Irlanda</c:v>
                </c:pt>
                <c:pt idx="2">
                  <c:v>Suécia</c:v>
                </c:pt>
                <c:pt idx="3">
                  <c:v>Reino Unido</c:v>
                </c:pt>
                <c:pt idx="4">
                  <c:v>Itália</c:v>
                </c:pt>
                <c:pt idx="5">
                  <c:v>Finlândia</c:v>
                </c:pt>
                <c:pt idx="6">
                  <c:v>Portugal</c:v>
                </c:pt>
                <c:pt idx="7">
                  <c:v>Europa dos 15</c:v>
                </c:pt>
                <c:pt idx="8">
                  <c:v>Luxemburgo</c:v>
                </c:pt>
                <c:pt idx="9">
                  <c:v>Espanha</c:v>
                </c:pt>
                <c:pt idx="10">
                  <c:v>Bélgica</c:v>
                </c:pt>
                <c:pt idx="11">
                  <c:v>Áustria</c:v>
                </c:pt>
                <c:pt idx="12">
                  <c:v>Grécia</c:v>
                </c:pt>
                <c:pt idx="13">
                  <c:v>França</c:v>
                </c:pt>
                <c:pt idx="14">
                  <c:v>Alemanha</c:v>
                </c:pt>
                <c:pt idx="15">
                  <c:v>Países Baixos</c:v>
                </c:pt>
              </c:strCache>
            </c:strRef>
          </c:cat>
          <c:val>
            <c:numRef>
              <c:f>Plan1!$P$4:$P$19</c:f>
              <c:numCache>
                <c:formatCode>0.0</c:formatCode>
                <c:ptCount val="16"/>
                <c:pt idx="0">
                  <c:v>4.8</c:v>
                </c:pt>
                <c:pt idx="1">
                  <c:v>3.6</c:v>
                </c:pt>
                <c:pt idx="2">
                  <c:v>1.9</c:v>
                </c:pt>
                <c:pt idx="3">
                  <c:v>7.4</c:v>
                </c:pt>
                <c:pt idx="4">
                  <c:v>2</c:v>
                </c:pt>
                <c:pt idx="5">
                  <c:v>5.5</c:v>
                </c:pt>
                <c:pt idx="6">
                  <c:v>9.1999999999999993</c:v>
                </c:pt>
                <c:pt idx="7">
                  <c:v>4.7</c:v>
                </c:pt>
                <c:pt idx="8">
                  <c:v>6.3</c:v>
                </c:pt>
                <c:pt idx="9">
                  <c:v>2.4</c:v>
                </c:pt>
                <c:pt idx="10">
                  <c:v>2.2999999999999998</c:v>
                </c:pt>
                <c:pt idx="11">
                  <c:v>1.7</c:v>
                </c:pt>
                <c:pt idx="12">
                  <c:v>12.5</c:v>
                </c:pt>
                <c:pt idx="13">
                  <c:v>3.3</c:v>
                </c:pt>
                <c:pt idx="14">
                  <c:v>1.6</c:v>
                </c:pt>
                <c:pt idx="15">
                  <c:v>13.5</c:v>
                </c:pt>
              </c:numCache>
            </c:numRef>
          </c:val>
        </c:ser>
        <c:dLbls>
          <c:showLegendKey val="0"/>
          <c:showVal val="0"/>
          <c:showCatName val="0"/>
          <c:showSerName val="0"/>
          <c:showPercent val="0"/>
          <c:showBubbleSize val="0"/>
        </c:dLbls>
        <c:gapWidth val="50"/>
        <c:overlap val="100"/>
        <c:axId val="595533456"/>
        <c:axId val="595533848"/>
      </c:barChart>
      <c:catAx>
        <c:axId val="595533456"/>
        <c:scaling>
          <c:orientation val="maxMin"/>
        </c:scaling>
        <c:delete val="0"/>
        <c:axPos val="l"/>
        <c:title>
          <c:tx>
            <c:rich>
              <a:bodyPr/>
              <a:lstStyle/>
              <a:p>
                <a:pPr>
                  <a:defRPr sz="800" b="1" i="0" u="none" strike="noStrike" baseline="0">
                    <a:solidFill>
                      <a:srgbClr val="000000"/>
                    </a:solidFill>
                    <a:latin typeface="Arial"/>
                    <a:ea typeface="Arial"/>
                    <a:cs typeface="Arial"/>
                  </a:defRPr>
                </a:pPr>
                <a:r>
                  <a:rPr lang="pt-BR" sz="800"/>
                  <a:t>Países </a:t>
                </a:r>
              </a:p>
            </c:rich>
          </c:tx>
          <c:layout>
            <c:manualLayout>
              <c:xMode val="edge"/>
              <c:yMode val="edge"/>
              <c:x val="6.8082788671023969E-3"/>
              <c:y val="0.49424440613030896"/>
            </c:manualLayout>
          </c:layout>
          <c:overlay val="0"/>
          <c:spPr>
            <a:noFill/>
            <a:ln w="25392">
              <a:noFill/>
            </a:ln>
          </c:spPr>
        </c:title>
        <c:numFmt formatCode="General" sourceLinked="1"/>
        <c:majorTickMark val="out"/>
        <c:minorTickMark val="none"/>
        <c:tickLblPos val="nextTo"/>
        <c:spPr>
          <a:noFill/>
          <a:ln w="6348" cap="flat" cmpd="sng" algn="ctr">
            <a:solidFill>
              <a:schemeClr val="tx1">
                <a:tint val="75000"/>
              </a:schemeClr>
            </a:solidFill>
            <a:prstDash val="solid"/>
            <a:round/>
          </a:ln>
          <a:effectLst/>
        </c:spPr>
        <c:txPr>
          <a:bodyPr rot="-60000000" spcFirstLastPara="1" vertOverflow="ellipsis" vert="horz" wrap="square" anchor="ctr" anchorCtr="1"/>
          <a:lstStyle/>
          <a:p>
            <a:pPr>
              <a:defRPr sz="800" b="1" i="0" u="none" strike="noStrike" kern="1200" baseline="0">
                <a:solidFill>
                  <a:schemeClr val="tx1"/>
                </a:solidFill>
                <a:latin typeface="Arial" pitchFamily="34" charset="0"/>
                <a:ea typeface="+mn-ea"/>
                <a:cs typeface="Arial" pitchFamily="34" charset="0"/>
              </a:defRPr>
            </a:pPr>
            <a:endParaRPr lang="pt-BR"/>
          </a:p>
        </c:txPr>
        <c:crossAx val="595533848"/>
        <c:crosses val="autoZero"/>
        <c:auto val="1"/>
        <c:lblAlgn val="ctr"/>
        <c:lblOffset val="100"/>
        <c:noMultiLvlLbl val="0"/>
      </c:catAx>
      <c:valAx>
        <c:axId val="595533848"/>
        <c:scaling>
          <c:orientation val="minMax"/>
        </c:scaling>
        <c:delete val="0"/>
        <c:axPos val="t"/>
        <c:majorGridlines>
          <c:spPr>
            <a:ln w="6348" cap="flat" cmpd="sng" algn="ctr">
              <a:solidFill>
                <a:schemeClr val="tx1">
                  <a:tint val="75000"/>
                </a:schemeClr>
              </a:solidFill>
              <a:prstDash val="solid"/>
              <a:round/>
            </a:ln>
            <a:effectLst/>
          </c:spPr>
        </c:majorGridlines>
        <c:title>
          <c:tx>
            <c:rich>
              <a:bodyPr/>
              <a:lstStyle/>
              <a:p>
                <a:pPr>
                  <a:defRPr sz="800"/>
                </a:pPr>
                <a:r>
                  <a:rPr lang="pt-BR" sz="800"/>
                  <a:t>Em % do Total</a:t>
                </a:r>
              </a:p>
            </c:rich>
          </c:tx>
          <c:layout>
            <c:manualLayout>
              <c:xMode val="edge"/>
              <c:yMode val="edge"/>
              <c:x val="0.44136856769537797"/>
              <c:y val="1.8377312453665841E-2"/>
            </c:manualLayout>
          </c:layout>
          <c:overlay val="0"/>
        </c:title>
        <c:numFmt formatCode="0%" sourceLinked="1"/>
        <c:majorTickMark val="out"/>
        <c:minorTickMark val="none"/>
        <c:tickLblPos val="nextTo"/>
        <c:spPr>
          <a:noFill/>
          <a:ln w="6348" cap="flat" cmpd="sng" algn="ctr">
            <a:solidFill>
              <a:schemeClr val="tx1">
                <a:tint val="75000"/>
              </a:schemeClr>
            </a:solidFill>
            <a:prstDash val="solid"/>
            <a:round/>
          </a:ln>
          <a:effectLst/>
        </c:spPr>
        <c:txPr>
          <a:bodyPr rot="-60000000" spcFirstLastPara="1" vertOverflow="ellipsis" vert="horz" wrap="square" anchor="ctr" anchorCtr="1"/>
          <a:lstStyle/>
          <a:p>
            <a:pPr>
              <a:defRPr sz="800" b="1" i="0" u="none" strike="noStrike" kern="1200" baseline="0">
                <a:solidFill>
                  <a:schemeClr val="tx1"/>
                </a:solidFill>
                <a:latin typeface="Arial" pitchFamily="34" charset="0"/>
                <a:ea typeface="+mn-ea"/>
                <a:cs typeface="Arial" pitchFamily="34" charset="0"/>
              </a:defRPr>
            </a:pPr>
            <a:endParaRPr lang="pt-BR"/>
          </a:p>
        </c:txPr>
        <c:crossAx val="595533456"/>
        <c:crosses val="autoZero"/>
        <c:crossBetween val="between"/>
      </c:valAx>
      <c:spPr>
        <a:solidFill>
          <a:schemeClr val="bg1">
            <a:lumMod val="85000"/>
          </a:schemeClr>
        </a:solidFill>
        <a:ln>
          <a:solidFill>
            <a:sysClr val="window" lastClr="FFFFFF">
              <a:lumMod val="50000"/>
            </a:sysClr>
          </a:solidFill>
        </a:ln>
        <a:effectLst/>
      </c:spPr>
    </c:plotArea>
    <c:legend>
      <c:legendPos val="t"/>
      <c:layout>
        <c:manualLayout>
          <c:xMode val="edge"/>
          <c:yMode val="edge"/>
          <c:x val="0.12662290783913449"/>
          <c:y val="0.88183041350548463"/>
          <c:w val="0.82049661918057104"/>
          <c:h val="4.5411066040987297E-2"/>
        </c:manualLayout>
      </c:layout>
      <c:overlay val="0"/>
      <c:spPr>
        <a:noFill/>
        <a:ln>
          <a:solidFill>
            <a:sysClr val="window" lastClr="FFFFFF">
              <a:lumMod val="50000"/>
            </a:sysClr>
          </a:solidFill>
        </a:ln>
        <a:effectLst/>
      </c:spPr>
      <c:txPr>
        <a:bodyPr rot="0" spcFirstLastPara="1" vertOverflow="ellipsis" vert="horz" wrap="square" anchor="ctr" anchorCtr="1"/>
        <a:lstStyle/>
        <a:p>
          <a:pPr>
            <a:defRPr sz="900" b="1" i="0" u="none" strike="noStrike" kern="1200" baseline="0">
              <a:solidFill>
                <a:schemeClr val="tx1"/>
              </a:solidFill>
              <a:latin typeface="Arial" pitchFamily="34" charset="0"/>
              <a:ea typeface="+mn-ea"/>
              <a:cs typeface="Arial" pitchFamily="34" charset="0"/>
            </a:defRPr>
          </a:pPr>
          <a:endParaRPr lang="pt-BR"/>
        </a:p>
      </c:txPr>
    </c:legend>
    <c:plotVisOnly val="1"/>
    <c:dispBlanksAs val="gap"/>
    <c:showDLblsOverMax val="0"/>
  </c:chart>
  <c:spPr>
    <a:solidFill>
      <a:schemeClr val="bg1"/>
    </a:solidFill>
    <a:ln w="6348" cap="flat" cmpd="sng" algn="ctr">
      <a:solidFill>
        <a:schemeClr val="tx1">
          <a:tint val="75000"/>
        </a:schemeClr>
      </a:solidFill>
      <a:prstDash val="solid"/>
      <a:round/>
    </a:ln>
    <a:effectLst/>
  </c:spPr>
  <c:txPr>
    <a:bodyPr/>
    <a:lstStyle/>
    <a:p>
      <a:pPr>
        <a:defRPr sz="1000">
          <a:latin typeface="Arial" pitchFamily="34" charset="0"/>
          <a:cs typeface="Arial" pitchFamily="34" charset="0"/>
        </a:defRPr>
      </a:pPr>
      <a:endParaRPr lang="pt-B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10990335593992"/>
          <c:y val="0.18748058278429483"/>
          <c:w val="0.720057963504105"/>
          <c:h val="0.66263381618114059"/>
        </c:manualLayout>
      </c:layout>
      <c:barChart>
        <c:barDir val="bar"/>
        <c:grouping val="stacked"/>
        <c:varyColors val="0"/>
        <c:ser>
          <c:idx val="2"/>
          <c:order val="0"/>
          <c:tx>
            <c:strRef>
              <c:f>Plan1!$O$3</c:f>
              <c:strCache>
                <c:ptCount val="1"/>
                <c:pt idx="0">
                  <c:v>Governo</c:v>
                </c:pt>
              </c:strCache>
            </c:strRef>
          </c:tx>
          <c:spPr>
            <a:solidFill>
              <a:srgbClr val="666699"/>
            </a:solidFill>
            <a:ln w="25404">
              <a:noFill/>
            </a:ln>
          </c:spPr>
          <c:invertIfNegative val="0"/>
          <c:dLbls>
            <c:numFmt formatCode="#,##0.0" sourceLinked="0"/>
            <c:spPr>
              <a:noFill/>
              <a:ln w="25404">
                <a:noFill/>
              </a:ln>
            </c:spPr>
            <c:txPr>
              <a:bodyPr rot="0" spcFirstLastPara="1" vertOverflow="ellipsis" vert="horz" wrap="square" anchor="ctr" anchorCtr="1"/>
              <a:lstStyle/>
              <a:p>
                <a:pPr>
                  <a:defRPr sz="700" b="0" i="0" u="none" strike="noStrike" kern="1200" baseline="0">
                    <a:solidFill>
                      <a:schemeClr val="bg1"/>
                    </a:solidFill>
                    <a:latin typeface="Arial" pitchFamily="34" charset="0"/>
                    <a:ea typeface="+mn-ea"/>
                    <a:cs typeface="Arial"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Plan1!$L$33:$L$48</c:f>
              <c:strCache>
                <c:ptCount val="16"/>
                <c:pt idx="0">
                  <c:v>Dinamarca</c:v>
                </c:pt>
                <c:pt idx="1">
                  <c:v>Suécia</c:v>
                </c:pt>
                <c:pt idx="2">
                  <c:v>Finlândia</c:v>
                </c:pt>
                <c:pt idx="3">
                  <c:v>Itália</c:v>
                </c:pt>
                <c:pt idx="4">
                  <c:v>Reino Unido</c:v>
                </c:pt>
                <c:pt idx="5">
                  <c:v>Irlanda</c:v>
                </c:pt>
                <c:pt idx="6">
                  <c:v>Europa dos 15</c:v>
                </c:pt>
                <c:pt idx="7">
                  <c:v>Portugal</c:v>
                </c:pt>
                <c:pt idx="8">
                  <c:v>França</c:v>
                </c:pt>
                <c:pt idx="9">
                  <c:v>Bélgica</c:v>
                </c:pt>
                <c:pt idx="10">
                  <c:v>Grécia</c:v>
                </c:pt>
                <c:pt idx="11">
                  <c:v>Luxemburgo</c:v>
                </c:pt>
                <c:pt idx="12">
                  <c:v>Espanha</c:v>
                </c:pt>
                <c:pt idx="13">
                  <c:v>Áustria</c:v>
                </c:pt>
                <c:pt idx="14">
                  <c:v>Alemanha</c:v>
                </c:pt>
                <c:pt idx="15">
                  <c:v>Países Baixos</c:v>
                </c:pt>
              </c:strCache>
            </c:strRef>
          </c:cat>
          <c:val>
            <c:numRef>
              <c:f>Plan1!$O$33:$O$48</c:f>
              <c:numCache>
                <c:formatCode>0.0</c:formatCode>
                <c:ptCount val="16"/>
                <c:pt idx="0">
                  <c:v>28.2</c:v>
                </c:pt>
                <c:pt idx="1">
                  <c:v>16.2</c:v>
                </c:pt>
                <c:pt idx="2">
                  <c:v>15.5</c:v>
                </c:pt>
                <c:pt idx="3">
                  <c:v>14.5</c:v>
                </c:pt>
                <c:pt idx="4">
                  <c:v>14.5</c:v>
                </c:pt>
                <c:pt idx="5">
                  <c:v>14.1</c:v>
                </c:pt>
                <c:pt idx="6">
                  <c:v>13.5</c:v>
                </c:pt>
                <c:pt idx="7">
                  <c:v>13.4</c:v>
                </c:pt>
                <c:pt idx="8">
                  <c:v>11.7</c:v>
                </c:pt>
                <c:pt idx="9">
                  <c:v>11.7</c:v>
                </c:pt>
                <c:pt idx="10">
                  <c:v>11.3</c:v>
                </c:pt>
                <c:pt idx="11">
                  <c:v>11.3</c:v>
                </c:pt>
                <c:pt idx="12">
                  <c:v>10.8</c:v>
                </c:pt>
                <c:pt idx="13">
                  <c:v>10.6</c:v>
                </c:pt>
                <c:pt idx="14">
                  <c:v>10.3</c:v>
                </c:pt>
                <c:pt idx="15">
                  <c:v>6.5</c:v>
                </c:pt>
              </c:numCache>
            </c:numRef>
          </c:val>
        </c:ser>
        <c:ser>
          <c:idx val="0"/>
          <c:order val="1"/>
          <c:tx>
            <c:strRef>
              <c:f>Plan1!$M$3</c:f>
              <c:strCache>
                <c:ptCount val="1"/>
                <c:pt idx="0">
                  <c:v>Empregador</c:v>
                </c:pt>
              </c:strCache>
            </c:strRef>
          </c:tx>
          <c:spPr>
            <a:solidFill>
              <a:srgbClr val="002060"/>
            </a:solidFill>
            <a:ln w="25404">
              <a:noFill/>
            </a:ln>
          </c:spPr>
          <c:invertIfNegative val="0"/>
          <c:dLbls>
            <c:spPr>
              <a:noFill/>
              <a:ln w="25404">
                <a:noFill/>
              </a:ln>
            </c:spPr>
            <c:txPr>
              <a:bodyPr rot="0" spcFirstLastPara="1" vertOverflow="ellipsis" vert="horz" wrap="square" anchor="ctr" anchorCtr="1"/>
              <a:lstStyle/>
              <a:p>
                <a:pPr>
                  <a:defRPr sz="700" b="0" i="0" u="none" strike="noStrike" kern="1200" baseline="0">
                    <a:solidFill>
                      <a:schemeClr val="bg1"/>
                    </a:solidFill>
                    <a:latin typeface="Arial" pitchFamily="34" charset="0"/>
                    <a:ea typeface="+mn-ea"/>
                    <a:cs typeface="Arial"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Plan1!$L$33:$L$48</c:f>
              <c:strCache>
                <c:ptCount val="16"/>
                <c:pt idx="0">
                  <c:v>Dinamarca</c:v>
                </c:pt>
                <c:pt idx="1">
                  <c:v>Suécia</c:v>
                </c:pt>
                <c:pt idx="2">
                  <c:v>Finlândia</c:v>
                </c:pt>
                <c:pt idx="3">
                  <c:v>Itália</c:v>
                </c:pt>
                <c:pt idx="4">
                  <c:v>Reino Unido</c:v>
                </c:pt>
                <c:pt idx="5">
                  <c:v>Irlanda</c:v>
                </c:pt>
                <c:pt idx="6">
                  <c:v>Europa dos 15</c:v>
                </c:pt>
                <c:pt idx="7">
                  <c:v>Portugal</c:v>
                </c:pt>
                <c:pt idx="8">
                  <c:v>França</c:v>
                </c:pt>
                <c:pt idx="9">
                  <c:v>Bélgica</c:v>
                </c:pt>
                <c:pt idx="10">
                  <c:v>Grécia</c:v>
                </c:pt>
                <c:pt idx="11">
                  <c:v>Luxemburgo</c:v>
                </c:pt>
                <c:pt idx="12">
                  <c:v>Espanha</c:v>
                </c:pt>
                <c:pt idx="13">
                  <c:v>Áustria</c:v>
                </c:pt>
                <c:pt idx="14">
                  <c:v>Alemanha</c:v>
                </c:pt>
                <c:pt idx="15">
                  <c:v>Países Baixos</c:v>
                </c:pt>
              </c:strCache>
            </c:strRef>
          </c:cat>
          <c:val>
            <c:numRef>
              <c:f>Plan1!$M$33:$M$48</c:f>
              <c:numCache>
                <c:formatCode>0.0</c:formatCode>
                <c:ptCount val="16"/>
                <c:pt idx="0">
                  <c:v>4.3</c:v>
                </c:pt>
                <c:pt idx="1">
                  <c:v>11.4</c:v>
                </c:pt>
                <c:pt idx="2">
                  <c:v>11.3</c:v>
                </c:pt>
                <c:pt idx="3">
                  <c:v>10.7</c:v>
                </c:pt>
                <c:pt idx="4">
                  <c:v>8.1999999999999993</c:v>
                </c:pt>
                <c:pt idx="5">
                  <c:v>5.6</c:v>
                </c:pt>
                <c:pt idx="6">
                  <c:v>9.6999999999999993</c:v>
                </c:pt>
                <c:pt idx="7">
                  <c:v>8</c:v>
                </c:pt>
                <c:pt idx="8">
                  <c:v>13.9</c:v>
                </c:pt>
                <c:pt idx="9">
                  <c:v>12.3</c:v>
                </c:pt>
                <c:pt idx="10">
                  <c:v>10.199999999999999</c:v>
                </c:pt>
                <c:pt idx="11">
                  <c:v>6.5</c:v>
                </c:pt>
                <c:pt idx="12">
                  <c:v>10.5</c:v>
                </c:pt>
                <c:pt idx="13">
                  <c:v>10.8</c:v>
                </c:pt>
                <c:pt idx="14">
                  <c:v>10.6</c:v>
                </c:pt>
                <c:pt idx="15">
                  <c:v>10.5</c:v>
                </c:pt>
              </c:numCache>
            </c:numRef>
          </c:val>
        </c:ser>
        <c:ser>
          <c:idx val="1"/>
          <c:order val="2"/>
          <c:tx>
            <c:strRef>
              <c:f>Plan1!$N$3</c:f>
              <c:strCache>
                <c:ptCount val="1"/>
                <c:pt idx="0">
                  <c:v>Trabalhador</c:v>
                </c:pt>
              </c:strCache>
            </c:strRef>
          </c:tx>
          <c:spPr>
            <a:solidFill>
              <a:srgbClr val="A5A5A5"/>
            </a:solidFill>
            <a:ln w="25404">
              <a:noFill/>
            </a:ln>
          </c:spPr>
          <c:invertIfNegative val="0"/>
          <c:dLbls>
            <c:spPr>
              <a:noFill/>
              <a:ln w="25404">
                <a:noFill/>
              </a:ln>
            </c:spPr>
            <c:txPr>
              <a:bodyPr rot="0" spcFirstLastPara="1" vertOverflow="ellipsis" vert="horz" wrap="square" anchor="ctr" anchorCtr="1"/>
              <a:lstStyle/>
              <a:p>
                <a:pPr>
                  <a:defRPr sz="700" b="0" i="0" u="none" strike="noStrike" kern="1200" baseline="0">
                    <a:solidFill>
                      <a:schemeClr val="bg1"/>
                    </a:solidFill>
                    <a:latin typeface="Arial" pitchFamily="34" charset="0"/>
                    <a:ea typeface="+mn-ea"/>
                    <a:cs typeface="Arial"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Plan1!$L$33:$L$48</c:f>
              <c:strCache>
                <c:ptCount val="16"/>
                <c:pt idx="0">
                  <c:v>Dinamarca</c:v>
                </c:pt>
                <c:pt idx="1">
                  <c:v>Suécia</c:v>
                </c:pt>
                <c:pt idx="2">
                  <c:v>Finlândia</c:v>
                </c:pt>
                <c:pt idx="3">
                  <c:v>Itália</c:v>
                </c:pt>
                <c:pt idx="4">
                  <c:v>Reino Unido</c:v>
                </c:pt>
                <c:pt idx="5">
                  <c:v>Irlanda</c:v>
                </c:pt>
                <c:pt idx="6">
                  <c:v>Europa dos 15</c:v>
                </c:pt>
                <c:pt idx="7">
                  <c:v>Portugal</c:v>
                </c:pt>
                <c:pt idx="8">
                  <c:v>França</c:v>
                </c:pt>
                <c:pt idx="9">
                  <c:v>Bélgica</c:v>
                </c:pt>
                <c:pt idx="10">
                  <c:v>Grécia</c:v>
                </c:pt>
                <c:pt idx="11">
                  <c:v>Luxemburgo</c:v>
                </c:pt>
                <c:pt idx="12">
                  <c:v>Espanha</c:v>
                </c:pt>
                <c:pt idx="13">
                  <c:v>Áustria</c:v>
                </c:pt>
                <c:pt idx="14">
                  <c:v>Alemanha</c:v>
                </c:pt>
                <c:pt idx="15">
                  <c:v>Países Baixos</c:v>
                </c:pt>
              </c:strCache>
            </c:strRef>
          </c:cat>
          <c:val>
            <c:numRef>
              <c:f>Plan1!$N$33:$N$48</c:f>
              <c:numCache>
                <c:formatCode>0.0</c:formatCode>
                <c:ptCount val="16"/>
                <c:pt idx="0">
                  <c:v>3</c:v>
                </c:pt>
                <c:pt idx="1">
                  <c:v>3</c:v>
                </c:pt>
                <c:pt idx="2">
                  <c:v>4.0999999999999996</c:v>
                </c:pt>
                <c:pt idx="3">
                  <c:v>4.5</c:v>
                </c:pt>
                <c:pt idx="4">
                  <c:v>3.6</c:v>
                </c:pt>
                <c:pt idx="5">
                  <c:v>1.8</c:v>
                </c:pt>
                <c:pt idx="6">
                  <c:v>5.4</c:v>
                </c:pt>
                <c:pt idx="7">
                  <c:v>4.3</c:v>
                </c:pt>
                <c:pt idx="8">
                  <c:v>6.8</c:v>
                </c:pt>
                <c:pt idx="9">
                  <c:v>6.1</c:v>
                </c:pt>
                <c:pt idx="10">
                  <c:v>6.4</c:v>
                </c:pt>
                <c:pt idx="11">
                  <c:v>5.9</c:v>
                </c:pt>
                <c:pt idx="12">
                  <c:v>3.1</c:v>
                </c:pt>
                <c:pt idx="13">
                  <c:v>7.7</c:v>
                </c:pt>
                <c:pt idx="14">
                  <c:v>9.3000000000000007</c:v>
                </c:pt>
                <c:pt idx="15">
                  <c:v>12.4</c:v>
                </c:pt>
              </c:numCache>
            </c:numRef>
          </c:val>
        </c:ser>
        <c:ser>
          <c:idx val="3"/>
          <c:order val="3"/>
          <c:tx>
            <c:strRef>
              <c:f>Plan1!$P$3</c:f>
              <c:strCache>
                <c:ptCount val="1"/>
                <c:pt idx="0">
                  <c:v>Outras</c:v>
                </c:pt>
              </c:strCache>
            </c:strRef>
          </c:tx>
          <c:spPr>
            <a:solidFill>
              <a:srgbClr val="8064A2">
                <a:lumMod val="75000"/>
              </a:srgbClr>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Lst>
            </c:dLbl>
            <c:dLbl>
              <c:idx val="2"/>
              <c:dLblPos val="ctr"/>
              <c:showLegendKey val="0"/>
              <c:showVal val="1"/>
              <c:showCatName val="0"/>
              <c:showSerName val="0"/>
              <c:showPercent val="0"/>
              <c:showBubbleSize val="0"/>
              <c:extLst>
                <c:ext xmlns:c15="http://schemas.microsoft.com/office/drawing/2012/chart" uri="{CE6537A1-D6FC-4f65-9D91-7224C49458BB}"/>
              </c:extLst>
            </c:dLbl>
            <c:dLbl>
              <c:idx val="3"/>
              <c:dLblPos val="ctr"/>
              <c:showLegendKey val="0"/>
              <c:showVal val="1"/>
              <c:showCatName val="0"/>
              <c:showSerName val="0"/>
              <c:showPercent val="0"/>
              <c:showBubbleSize val="0"/>
              <c:extLst>
                <c:ext xmlns:c15="http://schemas.microsoft.com/office/drawing/2012/chart" uri="{CE6537A1-D6FC-4f65-9D91-7224C49458BB}"/>
              </c:extLst>
            </c:dLbl>
            <c:dLbl>
              <c:idx val="4"/>
              <c:dLblPos val="ctr"/>
              <c:showLegendKey val="0"/>
              <c:showVal val="1"/>
              <c:showCatName val="0"/>
              <c:showSerName val="0"/>
              <c:showPercent val="0"/>
              <c:showBubbleSize val="0"/>
              <c:extLst>
                <c:ext xmlns:c15="http://schemas.microsoft.com/office/drawing/2012/chart" uri="{CE6537A1-D6FC-4f65-9D91-7224C49458BB}"/>
              </c:extLst>
            </c:dLbl>
            <c:dLbl>
              <c:idx val="6"/>
              <c:dLblPos val="ctr"/>
              <c:showLegendKey val="0"/>
              <c:showVal val="1"/>
              <c:showCatName val="0"/>
              <c:showSerName val="0"/>
              <c:showPercent val="0"/>
              <c:showBubbleSize val="0"/>
              <c:extLst>
                <c:ext xmlns:c15="http://schemas.microsoft.com/office/drawing/2012/chart" uri="{CE6537A1-D6FC-4f65-9D91-7224C49458BB}"/>
              </c:extLst>
            </c:dLbl>
            <c:dLbl>
              <c:idx val="7"/>
              <c:dLblPos val="ctr"/>
              <c:showLegendKey val="0"/>
              <c:showVal val="1"/>
              <c:showCatName val="0"/>
              <c:showSerName val="0"/>
              <c:showPercent val="0"/>
              <c:showBubbleSize val="0"/>
              <c:extLst>
                <c:ext xmlns:c15="http://schemas.microsoft.com/office/drawing/2012/chart" uri="{CE6537A1-D6FC-4f65-9D91-7224C49458BB}"/>
              </c:extLst>
            </c:dLbl>
            <c:dLbl>
              <c:idx val="8"/>
              <c:dLblPos val="ctr"/>
              <c:showLegendKey val="0"/>
              <c:showVal val="1"/>
              <c:showCatName val="0"/>
              <c:showSerName val="0"/>
              <c:showPercent val="0"/>
              <c:showBubbleSize val="0"/>
              <c:extLst>
                <c:ext xmlns:c15="http://schemas.microsoft.com/office/drawing/2012/chart" uri="{CE6537A1-D6FC-4f65-9D91-7224C49458BB}"/>
              </c:extLst>
            </c:dLbl>
            <c:dLbl>
              <c:idx val="10"/>
              <c:dLblPos val="ctr"/>
              <c:showLegendKey val="0"/>
              <c:showVal val="1"/>
              <c:showCatName val="0"/>
              <c:showSerName val="0"/>
              <c:showPercent val="0"/>
              <c:showBubbleSize val="0"/>
              <c:extLst>
                <c:ext xmlns:c15="http://schemas.microsoft.com/office/drawing/2012/chart" uri="{CE6537A1-D6FC-4f65-9D91-7224C49458BB}"/>
              </c:extLst>
            </c:dLbl>
            <c:dLbl>
              <c:idx val="11"/>
              <c:dLblPos val="ctr"/>
              <c:showLegendKey val="0"/>
              <c:showVal val="1"/>
              <c:showCatName val="0"/>
              <c:showSerName val="0"/>
              <c:showPercent val="0"/>
              <c:showBubbleSize val="0"/>
              <c:extLst>
                <c:ext xmlns:c15="http://schemas.microsoft.com/office/drawing/2012/chart" uri="{CE6537A1-D6FC-4f65-9D91-7224C49458BB}"/>
              </c:extLst>
            </c:dLbl>
            <c:dLbl>
              <c:idx val="15"/>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600" b="1">
                    <a:solidFill>
                      <a:schemeClr val="bg1"/>
                    </a:solidFill>
                  </a:defRPr>
                </a:pPr>
                <a:endParaRPr lang="pt-BR"/>
              </a:p>
            </c:txPr>
            <c:dLblPos val="ctr"/>
            <c:showLegendKey val="0"/>
            <c:showVal val="0"/>
            <c:showCatName val="0"/>
            <c:showSerName val="0"/>
            <c:showPercent val="0"/>
            <c:showBubbleSize val="0"/>
            <c:extLst>
              <c:ext xmlns:c15="http://schemas.microsoft.com/office/drawing/2012/chart" uri="{CE6537A1-D6FC-4f65-9D91-7224C49458BB}">
                <c15:showLeaderLines val="0"/>
              </c:ext>
            </c:extLst>
          </c:dLbls>
          <c:cat>
            <c:strRef>
              <c:f>Plan1!$L$33:$L$48</c:f>
              <c:strCache>
                <c:ptCount val="16"/>
                <c:pt idx="0">
                  <c:v>Dinamarca</c:v>
                </c:pt>
                <c:pt idx="1">
                  <c:v>Suécia</c:v>
                </c:pt>
                <c:pt idx="2">
                  <c:v>Finlândia</c:v>
                </c:pt>
                <c:pt idx="3">
                  <c:v>Itália</c:v>
                </c:pt>
                <c:pt idx="4">
                  <c:v>Reino Unido</c:v>
                </c:pt>
                <c:pt idx="5">
                  <c:v>Irlanda</c:v>
                </c:pt>
                <c:pt idx="6">
                  <c:v>Europa dos 15</c:v>
                </c:pt>
                <c:pt idx="7">
                  <c:v>Portugal</c:v>
                </c:pt>
                <c:pt idx="8">
                  <c:v>França</c:v>
                </c:pt>
                <c:pt idx="9">
                  <c:v>Bélgica</c:v>
                </c:pt>
                <c:pt idx="10">
                  <c:v>Grécia</c:v>
                </c:pt>
                <c:pt idx="11">
                  <c:v>Luxemburgo</c:v>
                </c:pt>
                <c:pt idx="12">
                  <c:v>Espanha</c:v>
                </c:pt>
                <c:pt idx="13">
                  <c:v>Áustria</c:v>
                </c:pt>
                <c:pt idx="14">
                  <c:v>Alemanha</c:v>
                </c:pt>
                <c:pt idx="15">
                  <c:v>Países Baixos</c:v>
                </c:pt>
              </c:strCache>
            </c:strRef>
          </c:cat>
          <c:val>
            <c:numRef>
              <c:f>Plan1!$P$33:$P$48</c:f>
              <c:numCache>
                <c:formatCode>0.0</c:formatCode>
                <c:ptCount val="16"/>
                <c:pt idx="0">
                  <c:v>1.8</c:v>
                </c:pt>
                <c:pt idx="1">
                  <c:v>0.6</c:v>
                </c:pt>
                <c:pt idx="2">
                  <c:v>1.8</c:v>
                </c:pt>
                <c:pt idx="3">
                  <c:v>0.6</c:v>
                </c:pt>
                <c:pt idx="4">
                  <c:v>2.1</c:v>
                </c:pt>
                <c:pt idx="5">
                  <c:v>0.8</c:v>
                </c:pt>
                <c:pt idx="6">
                  <c:v>1.4</c:v>
                </c:pt>
                <c:pt idx="7">
                  <c:v>2.6</c:v>
                </c:pt>
                <c:pt idx="8">
                  <c:v>1.1000000000000001</c:v>
                </c:pt>
                <c:pt idx="9">
                  <c:v>0.7</c:v>
                </c:pt>
                <c:pt idx="10">
                  <c:v>4</c:v>
                </c:pt>
                <c:pt idx="11">
                  <c:v>1.6</c:v>
                </c:pt>
                <c:pt idx="12">
                  <c:v>0.6</c:v>
                </c:pt>
                <c:pt idx="13">
                  <c:v>0.5</c:v>
                </c:pt>
                <c:pt idx="14">
                  <c:v>0.5</c:v>
                </c:pt>
                <c:pt idx="15">
                  <c:v>4.5999999999999996</c:v>
                </c:pt>
              </c:numCache>
            </c:numRef>
          </c:val>
        </c:ser>
        <c:dLbls>
          <c:showLegendKey val="0"/>
          <c:showVal val="0"/>
          <c:showCatName val="0"/>
          <c:showSerName val="0"/>
          <c:showPercent val="0"/>
          <c:showBubbleSize val="0"/>
        </c:dLbls>
        <c:gapWidth val="50"/>
        <c:overlap val="100"/>
        <c:axId val="595534240"/>
        <c:axId val="595531888"/>
      </c:barChart>
      <c:catAx>
        <c:axId val="595534240"/>
        <c:scaling>
          <c:orientation val="maxMin"/>
        </c:scaling>
        <c:delete val="0"/>
        <c:axPos val="l"/>
        <c:title>
          <c:tx>
            <c:rich>
              <a:bodyPr rot="-5400000" vert="horz"/>
              <a:lstStyle/>
              <a:p>
                <a:pPr>
                  <a:defRPr sz="800"/>
                </a:pPr>
                <a:r>
                  <a:rPr lang="pt-BR" sz="800"/>
                  <a:t>Países</a:t>
                </a:r>
              </a:p>
            </c:rich>
          </c:tx>
          <c:layout>
            <c:manualLayout>
              <c:xMode val="edge"/>
              <c:yMode val="edge"/>
              <c:x val="2.9325865165363969E-2"/>
              <c:y val="0.49980123658012138"/>
            </c:manualLayout>
          </c:layout>
          <c:overlay val="0"/>
        </c:title>
        <c:numFmt formatCode="General" sourceLinked="1"/>
        <c:majorTickMark val="out"/>
        <c:minorTickMark val="none"/>
        <c:tickLblPos val="nextTo"/>
        <c:spPr>
          <a:noFill/>
          <a:ln w="6351"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Arial" pitchFamily="34" charset="0"/>
              </a:defRPr>
            </a:pPr>
            <a:endParaRPr lang="pt-BR"/>
          </a:p>
        </c:txPr>
        <c:crossAx val="595531888"/>
        <c:crosses val="autoZero"/>
        <c:auto val="1"/>
        <c:lblAlgn val="ctr"/>
        <c:lblOffset val="100"/>
        <c:noMultiLvlLbl val="0"/>
      </c:catAx>
      <c:valAx>
        <c:axId val="595531888"/>
        <c:scaling>
          <c:orientation val="minMax"/>
          <c:max val="40"/>
          <c:min val="0"/>
        </c:scaling>
        <c:delete val="0"/>
        <c:axPos val="t"/>
        <c:majorGridlines>
          <c:spPr>
            <a:ln w="6351" cap="flat" cmpd="sng" algn="ctr">
              <a:solidFill>
                <a:schemeClr val="tx1">
                  <a:tint val="75000"/>
                </a:schemeClr>
              </a:solidFill>
              <a:prstDash val="solid"/>
              <a:round/>
            </a:ln>
            <a:effectLst/>
          </c:spPr>
        </c:majorGridlines>
        <c:title>
          <c:tx>
            <c:rich>
              <a:bodyPr/>
              <a:lstStyle/>
              <a:p>
                <a:pPr>
                  <a:defRPr sz="800"/>
                </a:pPr>
                <a:r>
                  <a:rPr lang="pt-BR" sz="800"/>
                  <a:t>% do PIB</a:t>
                </a:r>
              </a:p>
            </c:rich>
          </c:tx>
          <c:layout>
            <c:manualLayout>
              <c:xMode val="edge"/>
              <c:yMode val="edge"/>
              <c:x val="0.4721273331074784"/>
              <c:y val="7.0334129152223313E-2"/>
            </c:manualLayout>
          </c:layout>
          <c:overlay val="0"/>
        </c:title>
        <c:numFmt formatCode="#,##0" sourceLinked="0"/>
        <c:majorTickMark val="out"/>
        <c:minorTickMark val="none"/>
        <c:tickLblPos val="nextTo"/>
        <c:spPr>
          <a:noFill/>
          <a:ln w="6351" cap="flat" cmpd="sng" algn="ctr">
            <a:solidFill>
              <a:schemeClr val="tx1">
                <a:tint val="7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Arial" pitchFamily="34" charset="0"/>
                <a:ea typeface="+mn-ea"/>
                <a:cs typeface="Arial" pitchFamily="34" charset="0"/>
              </a:defRPr>
            </a:pPr>
            <a:endParaRPr lang="pt-BR"/>
          </a:p>
        </c:txPr>
        <c:crossAx val="595534240"/>
        <c:crosses val="autoZero"/>
        <c:crossBetween val="between"/>
        <c:majorUnit val="10"/>
      </c:valAx>
      <c:spPr>
        <a:solidFill>
          <a:schemeClr val="bg1">
            <a:lumMod val="85000"/>
          </a:schemeClr>
        </a:solidFill>
        <a:ln>
          <a:solidFill>
            <a:sysClr val="window" lastClr="FFFFFF">
              <a:lumMod val="50000"/>
            </a:sysClr>
          </a:solidFill>
        </a:ln>
        <a:effectLst/>
      </c:spPr>
    </c:plotArea>
    <c:legend>
      <c:legendPos val="t"/>
      <c:layout>
        <c:manualLayout>
          <c:xMode val="edge"/>
          <c:yMode val="edge"/>
          <c:x val="0.1030556180267525"/>
          <c:y val="0.89111801075885921"/>
          <c:w val="0.89465651345684161"/>
          <c:h val="4.2445827992431184E-2"/>
        </c:manualLayout>
      </c:layout>
      <c:overlay val="0"/>
      <c:spPr>
        <a:noFill/>
        <a:ln>
          <a:solidFill>
            <a:sysClr val="window" lastClr="FFFFFF">
              <a:lumMod val="50000"/>
            </a:sysClr>
          </a:solidFill>
        </a:ln>
        <a:effectLst/>
      </c:spPr>
      <c:txPr>
        <a:bodyPr rot="0" spcFirstLastPara="1" vertOverflow="ellipsis" vert="horz" wrap="square" anchor="ctr" anchorCtr="1"/>
        <a:lstStyle/>
        <a:p>
          <a:pPr>
            <a:defRPr sz="900" b="1" i="0" u="none" strike="noStrike" kern="1200" baseline="0">
              <a:solidFill>
                <a:schemeClr val="tx1"/>
              </a:solidFill>
              <a:latin typeface="Arial" pitchFamily="34" charset="0"/>
              <a:ea typeface="+mn-ea"/>
              <a:cs typeface="Arial" pitchFamily="34" charset="0"/>
            </a:defRPr>
          </a:pPr>
          <a:endParaRPr lang="pt-BR"/>
        </a:p>
      </c:txPr>
    </c:legend>
    <c:plotVisOnly val="1"/>
    <c:dispBlanksAs val="gap"/>
    <c:showDLblsOverMax val="0"/>
  </c:chart>
  <c:spPr>
    <a:solidFill>
      <a:schemeClr val="bg1"/>
    </a:solidFill>
    <a:ln w="6351" cap="flat" cmpd="sng" algn="ctr">
      <a:solidFill>
        <a:schemeClr val="tx1">
          <a:tint val="75000"/>
        </a:schemeClr>
      </a:solidFill>
      <a:prstDash val="solid"/>
      <a:round/>
    </a:ln>
    <a:effectLst/>
  </c:spPr>
  <c:txPr>
    <a:bodyPr/>
    <a:lstStyle/>
    <a:p>
      <a:pPr>
        <a:defRPr sz="1000">
          <a:latin typeface="Arial" pitchFamily="34" charset="0"/>
          <a:cs typeface="Arial" pitchFamily="34" charset="0"/>
        </a:defRPr>
      </a:pPr>
      <a:endParaRPr lang="pt-B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45366724992709"/>
          <c:y val="9.9428170364498303E-2"/>
          <c:w val="0.75704633275007294"/>
          <c:h val="0.68800630422589937"/>
        </c:manualLayout>
      </c:layout>
      <c:barChart>
        <c:barDir val="col"/>
        <c:grouping val="clustered"/>
        <c:varyColors val="0"/>
        <c:ser>
          <c:idx val="0"/>
          <c:order val="0"/>
          <c:spPr>
            <a:solidFill>
              <a:srgbClr val="1F497D">
                <a:lumMod val="75000"/>
              </a:srgbClr>
            </a:solidFill>
            <a:ln>
              <a:noFill/>
            </a:ln>
            <a:effectLst>
              <a:outerShdw blurRad="57150" dist="19050" dir="5400000" algn="ctr" rotWithShape="0">
                <a:srgbClr val="000000">
                  <a:alpha val="63000"/>
                </a:srgbClr>
              </a:outerShdw>
            </a:effectLst>
          </c:spPr>
          <c:invertIfNegative val="0"/>
          <c:dLbls>
            <c:spPr>
              <a:noFill/>
              <a:ln w="25376">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Plan4!$A$7:$A$15</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Plan4!$B$7:$B$15</c:f>
              <c:numCache>
                <c:formatCode>0.0</c:formatCode>
                <c:ptCount val="9"/>
                <c:pt idx="0">
                  <c:v>71.965000000000003</c:v>
                </c:pt>
                <c:pt idx="1">
                  <c:v>64.316000000000003</c:v>
                </c:pt>
                <c:pt idx="2">
                  <c:v>32.222999999999999</c:v>
                </c:pt>
                <c:pt idx="3">
                  <c:v>53.878</c:v>
                </c:pt>
                <c:pt idx="4">
                  <c:v>75.813999999999993</c:v>
                </c:pt>
                <c:pt idx="5">
                  <c:v>82.8</c:v>
                </c:pt>
                <c:pt idx="6">
                  <c:v>76.445999999999998</c:v>
                </c:pt>
                <c:pt idx="7">
                  <c:v>55.59</c:v>
                </c:pt>
                <c:pt idx="8">
                  <c:v>11.337</c:v>
                </c:pt>
              </c:numCache>
            </c:numRef>
          </c:val>
        </c:ser>
        <c:dLbls>
          <c:showLegendKey val="0"/>
          <c:showVal val="0"/>
          <c:showCatName val="0"/>
          <c:showSerName val="0"/>
          <c:showPercent val="0"/>
          <c:showBubbleSize val="0"/>
        </c:dLbls>
        <c:gapWidth val="100"/>
        <c:overlap val="-24"/>
        <c:axId val="595534632"/>
        <c:axId val="595530712"/>
      </c:barChart>
      <c:catAx>
        <c:axId val="595534632"/>
        <c:scaling>
          <c:orientation val="minMax"/>
        </c:scaling>
        <c:delete val="0"/>
        <c:axPos val="b"/>
        <c:title>
          <c:tx>
            <c:rich>
              <a:bodyPr/>
              <a:lstStyle/>
              <a:p>
                <a:pPr>
                  <a:defRPr sz="800"/>
                </a:pPr>
                <a:r>
                  <a:rPr lang="pt-BR" sz="800"/>
                  <a:t>Anos</a:t>
                </a:r>
              </a:p>
            </c:rich>
          </c:tx>
          <c:layout>
            <c:manualLayout>
              <c:xMode val="edge"/>
              <c:yMode val="edge"/>
              <c:x val="0.50713655584718575"/>
              <c:y val="0.93884211548765317"/>
            </c:manualLayout>
          </c:layout>
          <c:overlay val="0"/>
        </c:title>
        <c:numFmt formatCode="General" sourceLinked="1"/>
        <c:majorTickMark val="none"/>
        <c:minorTickMark val="none"/>
        <c:tickLblPos val="nextTo"/>
        <c:spPr>
          <a:noFill/>
          <a:ln w="12688"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pt-BR"/>
          </a:p>
        </c:txPr>
        <c:crossAx val="595530712"/>
        <c:crosses val="autoZero"/>
        <c:auto val="1"/>
        <c:lblAlgn val="ctr"/>
        <c:lblOffset val="100"/>
        <c:noMultiLvlLbl val="0"/>
      </c:catAx>
      <c:valAx>
        <c:axId val="595530712"/>
        <c:scaling>
          <c:orientation val="minMax"/>
        </c:scaling>
        <c:delete val="0"/>
        <c:axPos val="l"/>
        <c:majorGridlines>
          <c:spPr>
            <a:ln w="9516" cap="flat" cmpd="sng" algn="ctr">
              <a:solidFill>
                <a:schemeClr val="tx1">
                  <a:lumMod val="15000"/>
                  <a:lumOff val="85000"/>
                </a:schemeClr>
              </a:solidFill>
              <a:round/>
            </a:ln>
            <a:effectLst/>
          </c:spPr>
        </c:majorGridlines>
        <c:title>
          <c:tx>
            <c:rich>
              <a:bodyPr rot="-5400000" vert="horz"/>
              <a:lstStyle/>
              <a:p>
                <a:pPr>
                  <a:defRPr sz="800"/>
                </a:pPr>
                <a:r>
                  <a:rPr lang="pt-BR" sz="800"/>
                  <a:t>R$</a:t>
                </a:r>
              </a:p>
            </c:rich>
          </c:tx>
          <c:layout>
            <c:manualLayout>
              <c:xMode val="edge"/>
              <c:yMode val="edge"/>
              <c:x val="3.7477467143807827E-2"/>
              <c:y val="0.39191784058766704"/>
            </c:manualLayout>
          </c:layout>
          <c:overlay val="0"/>
        </c:title>
        <c:numFmt formatCode="0.0" sourceLinked="1"/>
        <c:majorTickMark val="none"/>
        <c:minorTickMark val="none"/>
        <c:tickLblPos val="nextTo"/>
        <c:spPr>
          <a:ln w="6344">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595534632"/>
        <c:crosses val="autoZero"/>
        <c:crossBetween val="between"/>
      </c:valAx>
      <c:spPr>
        <a:noFill/>
        <a:ln w="25376">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4437985440988"/>
          <c:y val="4.63299097538366E-2"/>
          <c:w val="0.72434771357528338"/>
          <c:h val="0.55664493551209326"/>
        </c:manualLayout>
      </c:layout>
      <c:lineChart>
        <c:grouping val="standard"/>
        <c:varyColors val="0"/>
        <c:ser>
          <c:idx val="0"/>
          <c:order val="0"/>
          <c:tx>
            <c:strRef>
              <c:f>Plan25!$B$21</c:f>
              <c:strCache>
                <c:ptCount val="1"/>
                <c:pt idx="0">
                  <c:v>Receitas da Seguridade Social</c:v>
                </c:pt>
              </c:strCache>
            </c:strRef>
          </c:tx>
          <c:marker>
            <c:symbol val="none"/>
          </c:marker>
          <c:dLbls>
            <c:spPr>
              <a:noFill/>
              <a:ln>
                <a:noFill/>
              </a:ln>
              <a:effectLst/>
            </c:spPr>
            <c:txPr>
              <a:bodyPr rot="0" vert="horz"/>
              <a:lstStyle/>
              <a:p>
                <a:pPr>
                  <a:defRPr sz="600"/>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Plan25!$C$23:$H$23</c:f>
              <c:numCache>
                <c:formatCode>0</c:formatCode>
                <c:ptCount val="6"/>
                <c:pt idx="0">
                  <c:v>2005</c:v>
                </c:pt>
                <c:pt idx="1">
                  <c:v>2007</c:v>
                </c:pt>
                <c:pt idx="2">
                  <c:v>2009</c:v>
                </c:pt>
                <c:pt idx="3">
                  <c:v>2011</c:v>
                </c:pt>
                <c:pt idx="4">
                  <c:v>2013</c:v>
                </c:pt>
                <c:pt idx="5">
                  <c:v>2015</c:v>
                </c:pt>
              </c:numCache>
            </c:numRef>
          </c:cat>
          <c:val>
            <c:numRef>
              <c:f>Plan25!$C$21:$H$21</c:f>
              <c:numCache>
                <c:formatCode>#,##0</c:formatCode>
                <c:ptCount val="6"/>
                <c:pt idx="0">
                  <c:v>289801</c:v>
                </c:pt>
                <c:pt idx="1">
                  <c:v>354649</c:v>
                </c:pt>
                <c:pt idx="2">
                  <c:v>392191</c:v>
                </c:pt>
                <c:pt idx="3">
                  <c:v>527137</c:v>
                </c:pt>
                <c:pt idx="4">
                  <c:v>651099</c:v>
                </c:pt>
                <c:pt idx="5">
                  <c:v>694397</c:v>
                </c:pt>
              </c:numCache>
            </c:numRef>
          </c:val>
          <c:smooth val="1"/>
        </c:ser>
        <c:ser>
          <c:idx val="1"/>
          <c:order val="1"/>
          <c:tx>
            <c:strRef>
              <c:f>Plan25!$B$39</c:f>
              <c:strCache>
                <c:ptCount val="1"/>
                <c:pt idx="0">
                  <c:v>Despesas da Seguridade Social</c:v>
                </c:pt>
              </c:strCache>
            </c:strRef>
          </c:tx>
          <c:marker>
            <c:symbol val="none"/>
          </c:marker>
          <c:dLbls>
            <c:dLbl>
              <c:idx val="5"/>
              <c:delete val="1"/>
              <c:extLst>
                <c:ext xmlns:c15="http://schemas.microsoft.com/office/drawing/2012/chart" uri="{CE6537A1-D6FC-4f65-9D91-7224C49458BB}"/>
              </c:extLst>
            </c:dLbl>
            <c:spPr>
              <a:noFill/>
              <a:ln>
                <a:noFill/>
              </a:ln>
              <a:effectLst/>
            </c:spPr>
            <c:txPr>
              <a:bodyPr rot="0" vert="horz"/>
              <a:lstStyle/>
              <a:p>
                <a:pPr>
                  <a:defRPr sz="600"/>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Plan25!$C$23:$H$23</c:f>
              <c:numCache>
                <c:formatCode>0</c:formatCode>
                <c:ptCount val="6"/>
                <c:pt idx="0">
                  <c:v>2005</c:v>
                </c:pt>
                <c:pt idx="1">
                  <c:v>2007</c:v>
                </c:pt>
                <c:pt idx="2">
                  <c:v>2009</c:v>
                </c:pt>
                <c:pt idx="3">
                  <c:v>2011</c:v>
                </c:pt>
                <c:pt idx="4">
                  <c:v>2013</c:v>
                </c:pt>
                <c:pt idx="5">
                  <c:v>2015</c:v>
                </c:pt>
              </c:numCache>
            </c:numRef>
          </c:cat>
          <c:val>
            <c:numRef>
              <c:f>Plan25!$C$39:$H$39</c:f>
              <c:numCache>
                <c:formatCode>#,##0</c:formatCode>
                <c:ptCount val="6"/>
                <c:pt idx="0">
                  <c:v>216915</c:v>
                </c:pt>
                <c:pt idx="1">
                  <c:v>282685</c:v>
                </c:pt>
                <c:pt idx="2">
                  <c:v>359968</c:v>
                </c:pt>
                <c:pt idx="3">
                  <c:v>451323</c:v>
                </c:pt>
                <c:pt idx="4">
                  <c:v>574653</c:v>
                </c:pt>
                <c:pt idx="5">
                  <c:v>683061</c:v>
                </c:pt>
              </c:numCache>
            </c:numRef>
          </c:val>
          <c:smooth val="1"/>
        </c:ser>
        <c:ser>
          <c:idx val="2"/>
          <c:order val="2"/>
          <c:tx>
            <c:strRef>
              <c:f>Plan25!$B$41</c:f>
              <c:strCache>
                <c:ptCount val="1"/>
                <c:pt idx="0">
                  <c:v>Resultado da Seguridade Social</c:v>
                </c:pt>
              </c:strCache>
            </c:strRef>
          </c:tx>
          <c:marker>
            <c:symbol val="none"/>
          </c:marker>
          <c:dLbls>
            <c:spPr>
              <a:noFill/>
              <a:ln>
                <a:noFill/>
              </a:ln>
              <a:effectLst/>
            </c:spPr>
            <c:txPr>
              <a:bodyPr rot="0" vert="horz"/>
              <a:lstStyle/>
              <a:p>
                <a:pPr>
                  <a:defRPr sz="500"/>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Plan25!$C$23:$H$23</c:f>
              <c:numCache>
                <c:formatCode>0</c:formatCode>
                <c:ptCount val="6"/>
                <c:pt idx="0">
                  <c:v>2005</c:v>
                </c:pt>
                <c:pt idx="1">
                  <c:v>2007</c:v>
                </c:pt>
                <c:pt idx="2">
                  <c:v>2009</c:v>
                </c:pt>
                <c:pt idx="3">
                  <c:v>2011</c:v>
                </c:pt>
                <c:pt idx="4">
                  <c:v>2013</c:v>
                </c:pt>
                <c:pt idx="5">
                  <c:v>2015</c:v>
                </c:pt>
              </c:numCache>
            </c:numRef>
          </c:cat>
          <c:val>
            <c:numRef>
              <c:f>Plan25!$C$41:$H$41</c:f>
              <c:numCache>
                <c:formatCode>#,##0</c:formatCode>
                <c:ptCount val="6"/>
                <c:pt idx="0">
                  <c:v>72886</c:v>
                </c:pt>
                <c:pt idx="1">
                  <c:v>71965</c:v>
                </c:pt>
                <c:pt idx="2">
                  <c:v>32223</c:v>
                </c:pt>
                <c:pt idx="3">
                  <c:v>75814</c:v>
                </c:pt>
                <c:pt idx="4">
                  <c:v>76446</c:v>
                </c:pt>
                <c:pt idx="5">
                  <c:v>11337</c:v>
                </c:pt>
              </c:numCache>
            </c:numRef>
          </c:val>
          <c:smooth val="1"/>
        </c:ser>
        <c:dLbls>
          <c:showLegendKey val="0"/>
          <c:showVal val="0"/>
          <c:showCatName val="0"/>
          <c:showSerName val="0"/>
          <c:showPercent val="0"/>
          <c:showBubbleSize val="0"/>
        </c:dLbls>
        <c:smooth val="0"/>
        <c:axId val="595535416"/>
        <c:axId val="595535024"/>
      </c:lineChart>
      <c:catAx>
        <c:axId val="595535416"/>
        <c:scaling>
          <c:orientation val="minMax"/>
        </c:scaling>
        <c:delete val="0"/>
        <c:axPos val="b"/>
        <c:title>
          <c:tx>
            <c:rich>
              <a:bodyPr/>
              <a:lstStyle/>
              <a:p>
                <a:pPr>
                  <a:defRPr/>
                </a:pPr>
                <a:r>
                  <a:rPr lang="pt-BR"/>
                  <a:t>Anos</a:t>
                </a:r>
              </a:p>
            </c:rich>
          </c:tx>
          <c:layout>
            <c:manualLayout>
              <c:xMode val="edge"/>
              <c:yMode val="edge"/>
              <c:x val="0.49161412996598397"/>
              <c:y val="0.66995933820927467"/>
            </c:manualLayout>
          </c:layout>
          <c:overlay val="0"/>
        </c:title>
        <c:numFmt formatCode="0" sourceLinked="1"/>
        <c:majorTickMark val="none"/>
        <c:minorTickMark val="none"/>
        <c:tickLblPos val="nextTo"/>
        <c:txPr>
          <a:bodyPr rot="-60000000" vert="horz"/>
          <a:lstStyle/>
          <a:p>
            <a:pPr>
              <a:defRPr sz="800"/>
            </a:pPr>
            <a:endParaRPr lang="pt-BR"/>
          </a:p>
        </c:txPr>
        <c:crossAx val="595535024"/>
        <c:crosses val="autoZero"/>
        <c:auto val="1"/>
        <c:lblAlgn val="ctr"/>
        <c:lblOffset val="100"/>
        <c:noMultiLvlLbl val="0"/>
      </c:catAx>
      <c:valAx>
        <c:axId val="595535024"/>
        <c:scaling>
          <c:orientation val="minMax"/>
        </c:scaling>
        <c:delete val="0"/>
        <c:axPos val="l"/>
        <c:majorGridlines/>
        <c:title>
          <c:tx>
            <c:rich>
              <a:bodyPr rot="-5400000" vert="horz"/>
              <a:lstStyle/>
              <a:p>
                <a:pPr>
                  <a:defRPr/>
                </a:pPr>
                <a:r>
                  <a:rPr lang="pt-BR"/>
                  <a:t>R$</a:t>
                </a:r>
              </a:p>
            </c:rich>
          </c:tx>
          <c:layout>
            <c:manualLayout>
              <c:xMode val="edge"/>
              <c:yMode val="edge"/>
              <c:x val="1.3864063396577395E-2"/>
              <c:y val="0.22316571470749777"/>
            </c:manualLayout>
          </c:layout>
          <c:overlay val="0"/>
        </c:title>
        <c:numFmt formatCode="#,##0" sourceLinked="1"/>
        <c:majorTickMark val="none"/>
        <c:minorTickMark val="none"/>
        <c:tickLblPos val="nextTo"/>
        <c:txPr>
          <a:bodyPr rot="-60000000" vert="horz"/>
          <a:lstStyle/>
          <a:p>
            <a:pPr>
              <a:defRPr sz="800"/>
            </a:pPr>
            <a:endParaRPr lang="pt-BR"/>
          </a:p>
        </c:txPr>
        <c:crossAx val="595535416"/>
        <c:crosses val="autoZero"/>
        <c:crossBetween val="between"/>
      </c:valAx>
    </c:plotArea>
    <c:legend>
      <c:legendPos val="b"/>
      <c:layout>
        <c:manualLayout>
          <c:xMode val="edge"/>
          <c:yMode val="edge"/>
          <c:x val="0.14176152025772673"/>
          <c:y val="0.73436930805485556"/>
          <c:w val="0.71647695948454648"/>
          <c:h val="0.1589904239637539"/>
        </c:manualLayout>
      </c:layout>
      <c:overlay val="0"/>
      <c:txPr>
        <a:bodyPr rot="0" vert="horz"/>
        <a:lstStyle/>
        <a:p>
          <a:pPr>
            <a:defRPr sz="900"/>
          </a:pPr>
          <a:endParaRPr lang="pt-BR"/>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81592105541728"/>
          <c:y val="5.793603070625359E-2"/>
          <c:w val="0.74079006701950345"/>
          <c:h val="0.74301314109384964"/>
        </c:manualLayout>
      </c:layout>
      <c:barChart>
        <c:barDir val="col"/>
        <c:grouping val="clustered"/>
        <c:varyColors val="0"/>
        <c:ser>
          <c:idx val="0"/>
          <c:order val="0"/>
          <c:spPr>
            <a:solidFill>
              <a:srgbClr val="002060"/>
            </a:solidFill>
          </c:spPr>
          <c:invertIfNegative val="0"/>
          <c:dLbls>
            <c:spPr>
              <a:noFill/>
              <a:ln>
                <a:noFill/>
              </a:ln>
              <a:effectLst/>
            </c:spPr>
            <c:txPr>
              <a:bodyPr rot="0" vert="horz"/>
              <a:lstStyle/>
              <a:p>
                <a:pPr>
                  <a:defRPr sz="800">
                    <a:solidFill>
                      <a:schemeClr val="bg1"/>
                    </a:solidFill>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DRU!$H$30:$R$30</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DRU!$H$31:$R$31</c:f>
              <c:numCache>
                <c:formatCode>#,##0</c:formatCode>
                <c:ptCount val="11"/>
                <c:pt idx="0">
                  <c:v>32036942</c:v>
                </c:pt>
                <c:pt idx="1">
                  <c:v>33819950</c:v>
                </c:pt>
                <c:pt idx="2">
                  <c:v>38606995</c:v>
                </c:pt>
                <c:pt idx="3">
                  <c:v>39580914</c:v>
                </c:pt>
                <c:pt idx="4">
                  <c:v>39172810</c:v>
                </c:pt>
                <c:pt idx="5">
                  <c:v>46302452.002000004</c:v>
                </c:pt>
                <c:pt idx="6">
                  <c:v>50460237</c:v>
                </c:pt>
                <c:pt idx="7">
                  <c:v>54809379</c:v>
                </c:pt>
                <c:pt idx="8">
                  <c:v>60128079</c:v>
                </c:pt>
                <c:pt idx="9">
                  <c:v>59879918</c:v>
                </c:pt>
                <c:pt idx="10">
                  <c:v>60620377</c:v>
                </c:pt>
              </c:numCache>
            </c:numRef>
          </c:val>
        </c:ser>
        <c:dLbls>
          <c:dLblPos val="ctr"/>
          <c:showLegendKey val="0"/>
          <c:showVal val="1"/>
          <c:showCatName val="0"/>
          <c:showSerName val="0"/>
          <c:showPercent val="0"/>
          <c:showBubbleSize val="0"/>
        </c:dLbls>
        <c:gapWidth val="50"/>
        <c:axId val="595536200"/>
        <c:axId val="595536592"/>
      </c:barChart>
      <c:lineChart>
        <c:grouping val="standard"/>
        <c:varyColors val="0"/>
        <c:ser>
          <c:idx val="1"/>
          <c:order val="1"/>
          <c:marker>
            <c:symbol val="none"/>
          </c:marker>
          <c:dLbls>
            <c:dLbl>
              <c:idx val="6"/>
              <c:layout>
                <c:manualLayout>
                  <c:x val="-4.2632126099910128E-2"/>
                  <c:y val="-2.53241513529034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spPr/>
              <c:txPr>
                <a:bodyPr rot="0" vert="horz"/>
                <a:lstStyle/>
                <a:p>
                  <a:pPr>
                    <a:defRPr sz="800">
                      <a:solidFill>
                        <a:schemeClr val="bg1"/>
                      </a:solidFill>
                    </a:defRPr>
                  </a:pPr>
                  <a:endParaRPr lang="pt-BR"/>
                </a:p>
              </c:txPr>
              <c:dLblPos val="ctr"/>
              <c:showLegendKey val="0"/>
              <c:showVal val="1"/>
              <c:showCatName val="0"/>
              <c:showSerName val="0"/>
              <c:showPercent val="0"/>
              <c:showBubbleSize val="0"/>
            </c:dLbl>
            <c:dLbl>
              <c:idx val="8"/>
              <c:spPr/>
              <c:txPr>
                <a:bodyPr rot="0" vert="horz"/>
                <a:lstStyle/>
                <a:p>
                  <a:pPr>
                    <a:defRPr sz="800">
                      <a:solidFill>
                        <a:schemeClr val="bg1"/>
                      </a:solidFill>
                    </a:defRPr>
                  </a:pPr>
                  <a:endParaRPr lang="pt-BR"/>
                </a:p>
              </c:txPr>
              <c:dLblPos val="ctr"/>
              <c:showLegendKey val="0"/>
              <c:showVal val="1"/>
              <c:showCatName val="0"/>
              <c:showSerName val="0"/>
              <c:showPercent val="0"/>
              <c:showBubbleSize val="0"/>
            </c:dLbl>
            <c:dLbl>
              <c:idx val="9"/>
              <c:spPr/>
              <c:txPr>
                <a:bodyPr rot="0" vert="horz"/>
                <a:lstStyle/>
                <a:p>
                  <a:pPr>
                    <a:defRPr sz="800">
                      <a:solidFill>
                        <a:schemeClr val="bg1"/>
                      </a:solidFill>
                    </a:defRPr>
                  </a:pPr>
                  <a:endParaRPr lang="pt-BR"/>
                </a:p>
              </c:txPr>
              <c:dLblPos val="ctr"/>
              <c:showLegendKey val="0"/>
              <c:showVal val="1"/>
              <c:showCatName val="0"/>
              <c:showSerName val="0"/>
              <c:showPercent val="0"/>
              <c:showBubbleSize val="0"/>
            </c:dLbl>
            <c:dLbl>
              <c:idx val="10"/>
              <c:spPr/>
              <c:txPr>
                <a:bodyPr rot="0" vert="horz"/>
                <a:lstStyle/>
                <a:p>
                  <a:pPr>
                    <a:defRPr sz="800">
                      <a:solidFill>
                        <a:schemeClr val="bg1"/>
                      </a:solidFill>
                    </a:defRPr>
                  </a:pPr>
                  <a:endParaRPr lang="pt-BR"/>
                </a:p>
              </c:txPr>
              <c:dLblPos val="ctr"/>
              <c:showLegendKey val="0"/>
              <c:showVal val="1"/>
              <c:showCatName val="0"/>
              <c:showSerName val="0"/>
              <c:showPercent val="0"/>
              <c:showBubbleSize val="0"/>
            </c:dLbl>
            <c:spPr>
              <a:noFill/>
              <a:ln>
                <a:noFill/>
              </a:ln>
              <a:effectLst/>
            </c:spPr>
            <c:txPr>
              <a:bodyPr rot="0" vert="horz"/>
              <a:lstStyle/>
              <a:p>
                <a:pPr>
                  <a:defRPr sz="800"/>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DRU!$H$35:$R$35</c:f>
              <c:numCache>
                <c:formatCode>0.0%</c:formatCode>
                <c:ptCount val="11"/>
                <c:pt idx="0">
                  <c:v>1.4759592151096013E-2</c:v>
                </c:pt>
                <c:pt idx="1">
                  <c:v>1.4036378050520298E-2</c:v>
                </c:pt>
                <c:pt idx="2">
                  <c:v>1.4192376208558491E-2</c:v>
                </c:pt>
                <c:pt idx="3">
                  <c:v>1.272778785879292E-2</c:v>
                </c:pt>
                <c:pt idx="4">
                  <c:v>1.1752879526091107E-2</c:v>
                </c:pt>
                <c:pt idx="5">
                  <c:v>1.1915665233860234E-2</c:v>
                </c:pt>
                <c:pt idx="6">
                  <c:v>1.1537307443791899E-2</c:v>
                </c:pt>
                <c:pt idx="7">
                  <c:v>1.1404571618337677E-2</c:v>
                </c:pt>
                <c:pt idx="8">
                  <c:v>1.1309806816760451E-2</c:v>
                </c:pt>
                <c:pt idx="9">
                  <c:v>1.052869080966062E-2</c:v>
                </c:pt>
                <c:pt idx="10">
                  <c:v>1.0267103046146841E-2</c:v>
                </c:pt>
              </c:numCache>
            </c:numRef>
          </c:val>
          <c:smooth val="0"/>
        </c:ser>
        <c:dLbls>
          <c:dLblPos val="ctr"/>
          <c:showLegendKey val="0"/>
          <c:showVal val="1"/>
          <c:showCatName val="0"/>
          <c:showSerName val="0"/>
          <c:showPercent val="0"/>
          <c:showBubbleSize val="0"/>
        </c:dLbls>
        <c:marker val="1"/>
        <c:smooth val="0"/>
        <c:axId val="595537376"/>
        <c:axId val="595536984"/>
      </c:lineChart>
      <c:catAx>
        <c:axId val="595536200"/>
        <c:scaling>
          <c:orientation val="minMax"/>
        </c:scaling>
        <c:delete val="0"/>
        <c:axPos val="b"/>
        <c:title>
          <c:tx>
            <c:rich>
              <a:bodyPr/>
              <a:lstStyle/>
              <a:p>
                <a:pPr>
                  <a:defRPr sz="800"/>
                </a:pPr>
                <a:r>
                  <a:rPr lang="pt-BR" sz="800"/>
                  <a:t>Anos</a:t>
                </a:r>
              </a:p>
            </c:rich>
          </c:tx>
          <c:layout>
            <c:manualLayout>
              <c:xMode val="edge"/>
              <c:yMode val="edge"/>
              <c:x val="0.44535400442847745"/>
              <c:y val="0.9258164414414416"/>
            </c:manualLayout>
          </c:layout>
          <c:overlay val="0"/>
        </c:title>
        <c:numFmt formatCode="General" sourceLinked="1"/>
        <c:majorTickMark val="none"/>
        <c:minorTickMark val="none"/>
        <c:tickLblPos val="nextTo"/>
        <c:txPr>
          <a:bodyPr rot="0"/>
          <a:lstStyle/>
          <a:p>
            <a:pPr>
              <a:defRPr sz="800"/>
            </a:pPr>
            <a:endParaRPr lang="pt-BR"/>
          </a:p>
        </c:txPr>
        <c:crossAx val="595536592"/>
        <c:crosses val="autoZero"/>
        <c:auto val="1"/>
        <c:lblAlgn val="ctr"/>
        <c:lblOffset val="100"/>
        <c:noMultiLvlLbl val="0"/>
      </c:catAx>
      <c:valAx>
        <c:axId val="595536592"/>
        <c:scaling>
          <c:orientation val="minMax"/>
          <c:min val="15"/>
        </c:scaling>
        <c:delete val="0"/>
        <c:axPos val="l"/>
        <c:majorGridlines/>
        <c:title>
          <c:tx>
            <c:rich>
              <a:bodyPr rot="-5400000" vert="horz"/>
              <a:lstStyle/>
              <a:p>
                <a:pPr>
                  <a:defRPr sz="800"/>
                </a:pPr>
                <a:r>
                  <a:rPr lang="pt-BR" sz="800"/>
                  <a:t>R$ </a:t>
                </a:r>
              </a:p>
            </c:rich>
          </c:tx>
          <c:layout>
            <c:manualLayout>
              <c:xMode val="edge"/>
              <c:yMode val="edge"/>
              <c:x val="2.1202084143991946E-2"/>
              <c:y val="0.48753546853940555"/>
            </c:manualLayout>
          </c:layout>
          <c:overlay val="0"/>
        </c:title>
        <c:numFmt formatCode="#,##0" sourceLinked="1"/>
        <c:majorTickMark val="none"/>
        <c:minorTickMark val="none"/>
        <c:tickLblPos val="nextTo"/>
        <c:txPr>
          <a:bodyPr rot="0"/>
          <a:lstStyle/>
          <a:p>
            <a:pPr>
              <a:defRPr sz="800"/>
            </a:pPr>
            <a:endParaRPr lang="pt-BR"/>
          </a:p>
        </c:txPr>
        <c:crossAx val="595536200"/>
        <c:crosses val="autoZero"/>
        <c:crossBetween val="between"/>
        <c:dispUnits>
          <c:builtInUnit val="millions"/>
        </c:dispUnits>
      </c:valAx>
      <c:valAx>
        <c:axId val="595536984"/>
        <c:scaling>
          <c:orientation val="minMax"/>
        </c:scaling>
        <c:delete val="0"/>
        <c:axPos val="r"/>
        <c:title>
          <c:tx>
            <c:rich>
              <a:bodyPr rot="-5400000" vert="horz"/>
              <a:lstStyle/>
              <a:p>
                <a:pPr>
                  <a:defRPr sz="800"/>
                </a:pPr>
                <a:r>
                  <a:rPr lang="pt-BR" sz="800"/>
                  <a:t>% do PIB</a:t>
                </a:r>
              </a:p>
            </c:rich>
          </c:tx>
          <c:layout>
            <c:manualLayout>
              <c:xMode val="edge"/>
              <c:yMode val="edge"/>
              <c:x val="0.94415617647037353"/>
              <c:y val="0.45740738277647724"/>
            </c:manualLayout>
          </c:layout>
          <c:overlay val="0"/>
        </c:title>
        <c:numFmt formatCode="0.0%" sourceLinked="1"/>
        <c:majorTickMark val="none"/>
        <c:minorTickMark val="none"/>
        <c:tickLblPos val="nextTo"/>
        <c:txPr>
          <a:bodyPr rot="-60000000" vert="horz"/>
          <a:lstStyle/>
          <a:p>
            <a:pPr>
              <a:defRPr/>
            </a:pPr>
            <a:endParaRPr lang="pt-BR"/>
          </a:p>
        </c:txPr>
        <c:crossAx val="595537376"/>
        <c:crosses val="max"/>
        <c:crossBetween val="between"/>
      </c:valAx>
      <c:catAx>
        <c:axId val="595537376"/>
        <c:scaling>
          <c:orientation val="minMax"/>
        </c:scaling>
        <c:delete val="1"/>
        <c:axPos val="b"/>
        <c:majorTickMark val="none"/>
        <c:minorTickMark val="none"/>
        <c:tickLblPos val="none"/>
        <c:crossAx val="595536984"/>
        <c:crosses val="autoZero"/>
        <c:auto val="1"/>
        <c:lblAlgn val="ctr"/>
        <c:lblOffset val="100"/>
        <c:noMultiLvlLbl val="0"/>
      </c:cat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1"/>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39015177405622"/>
          <c:y val="6.2036318335889087E-2"/>
          <c:w val="0.81051573023239099"/>
          <c:h val="0.7850703770181805"/>
        </c:manualLayout>
      </c:layout>
      <c:barChart>
        <c:barDir val="col"/>
        <c:grouping val="clustered"/>
        <c:varyColors val="0"/>
        <c:ser>
          <c:idx val="0"/>
          <c:order val="0"/>
          <c:spPr>
            <a:solidFill>
              <a:srgbClr val="002060"/>
            </a:solidFill>
          </c:spPr>
          <c:invertIfNegative val="0"/>
          <c:dLbls>
            <c:spPr>
              <a:noFill/>
              <a:ln>
                <a:noFill/>
              </a:ln>
              <a:effectLst/>
            </c:spPr>
            <c:txPr>
              <a:bodyPr rot="0" vert="horz"/>
              <a:lstStyle/>
              <a:p>
                <a:pPr>
                  <a:defRPr sz="700"/>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[1]T1!$M$25:$M$34</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[1]T1!$N$25:$N$34</c:f>
              <c:numCache>
                <c:formatCode>General</c:formatCode>
                <c:ptCount val="10"/>
                <c:pt idx="0">
                  <c:v>18686</c:v>
                </c:pt>
                <c:pt idx="1">
                  <c:v>28315</c:v>
                </c:pt>
                <c:pt idx="2">
                  <c:v>59061</c:v>
                </c:pt>
                <c:pt idx="3">
                  <c:v>67354</c:v>
                </c:pt>
                <c:pt idx="4">
                  <c:v>68146</c:v>
                </c:pt>
                <c:pt idx="5">
                  <c:v>80909</c:v>
                </c:pt>
                <c:pt idx="6">
                  <c:v>97733</c:v>
                </c:pt>
                <c:pt idx="7">
                  <c:v>136462</c:v>
                </c:pt>
                <c:pt idx="8">
                  <c:v>157647</c:v>
                </c:pt>
                <c:pt idx="9">
                  <c:v>142965</c:v>
                </c:pt>
              </c:numCache>
            </c:numRef>
          </c:val>
        </c:ser>
        <c:dLbls>
          <c:showLegendKey val="0"/>
          <c:showVal val="0"/>
          <c:showCatName val="0"/>
          <c:showSerName val="0"/>
          <c:showPercent val="0"/>
          <c:showBubbleSize val="0"/>
        </c:dLbls>
        <c:gapWidth val="100"/>
        <c:overlap val="-24"/>
        <c:axId val="595538160"/>
        <c:axId val="595538552"/>
      </c:barChart>
      <c:catAx>
        <c:axId val="595538160"/>
        <c:scaling>
          <c:orientation val="minMax"/>
        </c:scaling>
        <c:delete val="0"/>
        <c:axPos val="b"/>
        <c:title>
          <c:tx>
            <c:rich>
              <a:bodyPr rot="0" vert="horz"/>
              <a:lstStyle/>
              <a:p>
                <a:pPr>
                  <a:defRPr sz="800"/>
                </a:pPr>
                <a:r>
                  <a:rPr lang="pt-BR" sz="800"/>
                  <a:t>Anos</a:t>
                </a:r>
              </a:p>
            </c:rich>
          </c:tx>
          <c:layout>
            <c:manualLayout>
              <c:xMode val="edge"/>
              <c:yMode val="edge"/>
              <c:x val="0.50491357323551567"/>
              <c:y val="0.92225060885692112"/>
            </c:manualLayout>
          </c:layout>
          <c:overlay val="0"/>
        </c:title>
        <c:numFmt formatCode="General" sourceLinked="1"/>
        <c:majorTickMark val="none"/>
        <c:minorTickMark val="none"/>
        <c:tickLblPos val="nextTo"/>
        <c:txPr>
          <a:bodyPr rot="-60000000" vert="horz"/>
          <a:lstStyle/>
          <a:p>
            <a:pPr>
              <a:defRPr sz="800"/>
            </a:pPr>
            <a:endParaRPr lang="pt-BR"/>
          </a:p>
        </c:txPr>
        <c:crossAx val="595538552"/>
        <c:crosses val="autoZero"/>
        <c:auto val="1"/>
        <c:lblAlgn val="ctr"/>
        <c:lblOffset val="100"/>
        <c:noMultiLvlLbl val="0"/>
      </c:catAx>
      <c:valAx>
        <c:axId val="595538552"/>
        <c:scaling>
          <c:orientation val="minMax"/>
        </c:scaling>
        <c:delete val="0"/>
        <c:axPos val="l"/>
        <c:majorGridlines/>
        <c:title>
          <c:tx>
            <c:rich>
              <a:bodyPr rot="-5400000" vert="horz"/>
              <a:lstStyle/>
              <a:p>
                <a:pPr>
                  <a:defRPr sz="800"/>
                </a:pPr>
                <a:r>
                  <a:rPr lang="pt-BR" sz="800"/>
                  <a:t>Em R$ MIlhões Correntes</a:t>
                </a:r>
              </a:p>
            </c:rich>
          </c:tx>
          <c:layout>
            <c:manualLayout>
              <c:xMode val="edge"/>
              <c:yMode val="edge"/>
              <c:x val="2.0524330583184543E-2"/>
              <c:y val="0.32935250814114125"/>
            </c:manualLayout>
          </c:layout>
          <c:overlay val="0"/>
        </c:title>
        <c:numFmt formatCode="General" sourceLinked="1"/>
        <c:majorTickMark val="none"/>
        <c:minorTickMark val="none"/>
        <c:tickLblPos val="nextTo"/>
        <c:txPr>
          <a:bodyPr rot="-60000000" vert="horz"/>
          <a:lstStyle/>
          <a:p>
            <a:pPr>
              <a:defRPr sz="800"/>
            </a:pPr>
            <a:endParaRPr lang="pt-BR"/>
          </a:p>
        </c:txPr>
        <c:crossAx val="595538160"/>
        <c:crosses val="autoZero"/>
        <c:crossBetween val="between"/>
      </c:valAx>
    </c:plotArea>
    <c:plotVisOnly val="1"/>
    <c:dispBlanksAs val="gap"/>
    <c:showDLblsOverMax val="0"/>
  </c:chart>
  <c:spPr>
    <a:ln>
      <a:solidFill>
        <a:schemeClr val="bg1"/>
      </a:solidFill>
    </a:ln>
  </c:spPr>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7C933-E966-4E21-A83D-38218268C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8404</Words>
  <Characters>45382</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FAGNANI</dc:creator>
  <cp:lastModifiedBy>Mateus Rafael Martins Leal</cp:lastModifiedBy>
  <cp:revision>2</cp:revision>
  <dcterms:created xsi:type="dcterms:W3CDTF">2017-09-14T12:38:00Z</dcterms:created>
  <dcterms:modified xsi:type="dcterms:W3CDTF">2017-09-14T12:38:00Z</dcterms:modified>
</cp:coreProperties>
</file>